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bookmarkStart w:id="0" w:name="_GoBack"/>
            <w:bookmarkEnd w:id="0"/>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שירלי שי</w:t>
                </w:r>
              </w:sdtContent>
            </w:sdt>
          </w:p>
          <w:p w:rsidR="006816EC" w:rsidRPr="006816EC" w:rsidRDefault="006816EC" w:rsidP="006816EC"/>
        </w:tc>
      </w:tr>
      <w:tr w:rsidR="006816EC" w:rsidTr="006816EC">
        <w:trPr>
          <w:jc w:val="center"/>
        </w:trPr>
        <w:tc>
          <w:tcPr>
            <w:tcW w:w="3249" w:type="dxa"/>
            <w:gridSpan w:val="2"/>
          </w:tcPr>
          <w:sdt>
            <w:sdtPr>
              <w:rPr>
                <w:rFonts w:hint="cs"/>
                <w:rtl/>
              </w:rPr>
              <w:alias w:val="1180"/>
              <w:tag w:val="1180"/>
              <w:id w:val="-803768281"/>
              <w:text w:multiLine="1"/>
            </w:sdtPr>
            <w:sdtEndPr/>
            <w:sdtContent>
              <w:p w:rsidR="00A85A6C" w:rsidRDefault="001A5656">
                <w:pPr>
                  <w:rPr>
                    <w:rFonts w:ascii="Arial (W1)" w:hAnsi="Arial (W1)"/>
                    <w:b/>
                    <w:bCs/>
                    <w:noProof w:val="0"/>
                    <w:sz w:val="28"/>
                    <w:szCs w:val="28"/>
                  </w:rPr>
                </w:pPr>
                <w:r>
                  <w:rPr>
                    <w:rFonts w:hint="cs"/>
                    <w:b/>
                    <w:bCs/>
                    <w:noProof w:val="0"/>
                    <w:sz w:val="28"/>
                    <w:rtl/>
                  </w:rPr>
                  <w:t>תובע</w:t>
                </w:r>
              </w:p>
            </w:sdtContent>
          </w:sdt>
        </w:tc>
        <w:tc>
          <w:tcPr>
            <w:tcW w:w="5571" w:type="dxa"/>
          </w:tcPr>
          <w:p w:rsidR="00970FD9" w:rsidRDefault="00156AB3" w:rsidP="00DF1E34">
            <w:pPr>
              <w:rPr>
                <w:rFonts w:ascii="Arial" w:hAnsi="Arial"/>
                <w:b/>
                <w:bCs/>
                <w:noProof w:val="0"/>
                <w:sz w:val="26"/>
                <w:szCs w:val="26"/>
                <w:rtl/>
              </w:rPr>
            </w:pPr>
            <w:sdt>
              <w:sdtPr>
                <w:rPr>
                  <w:rFonts w:hint="cs"/>
                  <w:b/>
                  <w:bCs/>
                  <w:noProof w:val="0"/>
                  <w:sz w:val="28"/>
                  <w:rtl/>
                </w:rPr>
                <w:alias w:val="1478"/>
                <w:tag w:val="1478"/>
                <w:id w:val="160126198"/>
                <w:text w:multiLine="1"/>
              </w:sdtPr>
              <w:sdtEndPr/>
              <w:sdtContent>
                <w:r w:rsidR="00DF1E34">
                  <w:rPr>
                    <w:rFonts w:hint="cs"/>
                    <w:b/>
                    <w:bCs/>
                    <w:noProof w:val="0"/>
                    <w:sz w:val="28"/>
                    <w:rtl/>
                  </w:rPr>
                  <w:t>א'</w:t>
                </w:r>
                <w:r w:rsidR="00FB3C14">
                  <w:rPr>
                    <w:rFonts w:hint="cs"/>
                    <w:b/>
                    <w:bCs/>
                    <w:noProof w:val="0"/>
                    <w:sz w:val="28"/>
                    <w:rtl/>
                  </w:rPr>
                  <w:t xml:space="preserve"> ב</w:t>
                </w:r>
                <w:r w:rsidR="00DF1E34">
                  <w:rPr>
                    <w:rFonts w:hint="cs"/>
                    <w:b/>
                    <w:bCs/>
                    <w:noProof w:val="0"/>
                    <w:sz w:val="28"/>
                    <w:rtl/>
                  </w:rPr>
                  <w:t>'</w:t>
                </w:r>
              </w:sdtContent>
            </w:sdt>
            <w:r w:rsidR="009C358E" w:rsidRPr="009C358E">
              <w:rPr>
                <w:rFonts w:hint="cs"/>
                <w:b/>
                <w:bCs/>
                <w:noProof w:val="0"/>
                <w:sz w:val="28"/>
                <w:rtl/>
              </w:rPr>
              <w:t xml:space="preserve"> </w:t>
            </w:r>
          </w:p>
          <w:p w:rsidR="006816EC" w:rsidRPr="001A5656" w:rsidRDefault="001A5656" w:rsidP="001A5656">
            <w:pPr>
              <w:rPr>
                <w:rFonts w:ascii="Arial (W1)" w:hAnsi="Arial (W1)"/>
                <w:b/>
                <w:bCs/>
                <w:noProof w:val="0"/>
              </w:rPr>
            </w:pPr>
            <w:r w:rsidRPr="001A5656">
              <w:rPr>
                <w:rFonts w:ascii="Arial" w:hAnsi="Arial"/>
                <w:b/>
                <w:bCs/>
                <w:noProof w:val="0"/>
                <w:rtl/>
              </w:rPr>
              <w:t>ע"י ב"כ עוה"</w:t>
            </w:r>
            <w:r w:rsidRPr="001A5656">
              <w:rPr>
                <w:rFonts w:ascii="Arial" w:hAnsi="Arial" w:hint="cs"/>
                <w:b/>
                <w:bCs/>
                <w:noProof w:val="0"/>
                <w:rtl/>
              </w:rPr>
              <w:t>ד ידידיה מנדל</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156AB3">
            <w:pPr>
              <w:rPr>
                <w:rFonts w:ascii="Arial (W1)" w:hAnsi="Arial (W1)"/>
                <w:b/>
                <w:bCs/>
                <w:noProof w:val="0"/>
                <w:sz w:val="28"/>
                <w:szCs w:val="28"/>
              </w:rPr>
            </w:pPr>
            <w:sdt>
              <w:sdtPr>
                <w:rPr>
                  <w:rFonts w:hint="cs"/>
                  <w:rtl/>
                </w:rPr>
                <w:alias w:val="1184"/>
                <w:tag w:val="1184"/>
                <w:id w:val="-910234160"/>
                <w:text w:multiLine="1"/>
              </w:sdtPr>
              <w:sdtEndPr/>
              <w:sdtContent>
                <w:r w:rsidR="001A5656">
                  <w:rPr>
                    <w:rFonts w:hint="cs"/>
                    <w:b/>
                    <w:bCs/>
                    <w:noProof w:val="0"/>
                    <w:sz w:val="28"/>
                    <w:rtl/>
                  </w:rPr>
                  <w:t>נתבעת</w:t>
                </w:r>
              </w:sdtContent>
            </w:sdt>
          </w:p>
        </w:tc>
        <w:tc>
          <w:tcPr>
            <w:tcW w:w="5571" w:type="dxa"/>
          </w:tcPr>
          <w:p w:rsidR="00970FD9" w:rsidRDefault="00156AB3" w:rsidP="00DF1E34">
            <w:pPr>
              <w:rPr>
                <w:rFonts w:ascii="Arial" w:hAnsi="Arial"/>
                <w:b/>
                <w:bCs/>
                <w:noProof w:val="0"/>
                <w:sz w:val="26"/>
                <w:szCs w:val="26"/>
                <w:rtl/>
              </w:rPr>
            </w:pPr>
            <w:sdt>
              <w:sdtPr>
                <w:rPr>
                  <w:rFonts w:hint="cs"/>
                  <w:b/>
                  <w:bCs/>
                  <w:noProof w:val="0"/>
                  <w:sz w:val="28"/>
                  <w:rtl/>
                </w:rPr>
                <w:alias w:val="1486"/>
                <w:tag w:val="1486"/>
                <w:id w:val="1487590763"/>
                <w:text w:multiLine="1"/>
              </w:sdtPr>
              <w:sdtEndPr/>
              <w:sdtContent>
                <w:r w:rsidR="00DF1E34">
                  <w:rPr>
                    <w:rFonts w:hint="cs"/>
                    <w:b/>
                    <w:bCs/>
                    <w:noProof w:val="0"/>
                    <w:sz w:val="28"/>
                    <w:rtl/>
                  </w:rPr>
                  <w:t>א'</w:t>
                </w:r>
                <w:r w:rsidR="00FB3C14">
                  <w:rPr>
                    <w:rFonts w:hint="cs"/>
                    <w:b/>
                    <w:bCs/>
                    <w:noProof w:val="0"/>
                    <w:sz w:val="28"/>
                    <w:rtl/>
                  </w:rPr>
                  <w:t xml:space="preserve"> ב</w:t>
                </w:r>
                <w:r w:rsidR="00DF1E34">
                  <w:rPr>
                    <w:rFonts w:hint="cs"/>
                    <w:b/>
                    <w:bCs/>
                    <w:noProof w:val="0"/>
                    <w:sz w:val="28"/>
                    <w:rtl/>
                  </w:rPr>
                  <w:t>'</w:t>
                </w:r>
              </w:sdtContent>
            </w:sdt>
            <w:r w:rsidR="009C358E" w:rsidRPr="009C358E">
              <w:rPr>
                <w:rFonts w:hint="cs"/>
                <w:b/>
                <w:bCs/>
                <w:noProof w:val="0"/>
                <w:sz w:val="28"/>
                <w:rtl/>
              </w:rPr>
              <w:t xml:space="preserve"> </w:t>
            </w:r>
          </w:p>
          <w:p w:rsidR="006816EC" w:rsidRDefault="00E44DDF" w:rsidP="001A5656">
            <w:pPr>
              <w:rPr>
                <w:rFonts w:ascii="Arial (W1)" w:hAnsi="Arial (W1)"/>
                <w:b/>
                <w:bCs/>
                <w:noProof w:val="0"/>
                <w:rtl/>
              </w:rPr>
            </w:pPr>
            <w:r w:rsidRPr="001A5656">
              <w:rPr>
                <w:rFonts w:ascii="Arial" w:hAnsi="Arial"/>
                <w:b/>
                <w:bCs/>
                <w:noProof w:val="0"/>
                <w:rtl/>
              </w:rPr>
              <w:t>ע"י ב"כ עוה"ד</w:t>
            </w:r>
            <w:r w:rsidR="001A5656" w:rsidRPr="001A5656">
              <w:rPr>
                <w:rFonts w:ascii="Arial (W1)" w:hAnsi="Arial (W1)" w:hint="cs"/>
                <w:b/>
                <w:bCs/>
                <w:noProof w:val="0"/>
                <w:rtl/>
              </w:rPr>
              <w:t xml:space="preserve"> דוד חזמה</w:t>
            </w:r>
          </w:p>
          <w:p w:rsidR="00735A7B" w:rsidRDefault="00735A7B" w:rsidP="001A5656">
            <w:pPr>
              <w:rPr>
                <w:rFonts w:ascii="Arial (W1)" w:hAnsi="Arial (W1)"/>
                <w:b/>
                <w:bCs/>
                <w:noProof w:val="0"/>
                <w:rtl/>
              </w:rPr>
            </w:pPr>
          </w:p>
          <w:p w:rsidR="00735A7B" w:rsidRPr="001A5656" w:rsidRDefault="00735A7B" w:rsidP="001A5656">
            <w:pPr>
              <w:rPr>
                <w:rFonts w:ascii="Arial (W1)" w:hAnsi="Arial (W1)"/>
                <w:b/>
                <w:bCs/>
                <w:noProof w:val="0"/>
                <w:rtl/>
              </w:rPr>
            </w:pPr>
          </w:p>
        </w:tc>
      </w:tr>
    </w:tbl>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p w:rsidR="00735A7B" w:rsidRDefault="00735A7B" w:rsidP="00735A7B">
            <w:pPr>
              <w:bidi w:val="0"/>
              <w:jc w:val="center"/>
              <w:rPr>
                <w:rFonts w:ascii="Arial" w:hAnsi="Arial"/>
                <w:b/>
                <w:bCs/>
                <w:noProof w:val="0"/>
                <w:sz w:val="28"/>
                <w:szCs w:val="28"/>
                <w:u w:val="single"/>
              </w:rPr>
            </w:pPr>
          </w:p>
        </w:tc>
      </w:tr>
    </w:tbl>
    <w:p w:rsidR="00694556" w:rsidRDefault="00694556">
      <w:pPr>
        <w:spacing w:line="360" w:lineRule="auto"/>
        <w:jc w:val="both"/>
        <w:rPr>
          <w:rFonts w:ascii="Arial" w:hAnsi="Arial"/>
          <w:noProof w:val="0"/>
          <w:rtl/>
        </w:rPr>
      </w:pPr>
    </w:p>
    <w:p w:rsidR="00970FD9" w:rsidRDefault="00970FD9" w:rsidP="00970FD9">
      <w:pPr>
        <w:pStyle w:val="ad"/>
        <w:numPr>
          <w:ilvl w:val="0"/>
          <w:numId w:val="1"/>
        </w:numPr>
        <w:ind w:left="368" w:hanging="426"/>
        <w:jc w:val="both"/>
        <w:rPr>
          <w:rFonts w:ascii="David" w:hAnsi="David" w:cs="David"/>
          <w:sz w:val="24"/>
          <w:szCs w:val="24"/>
          <w:rtl/>
        </w:rPr>
      </w:pPr>
      <w:r>
        <w:rPr>
          <w:rFonts w:ascii="David" w:hAnsi="David" w:cs="David"/>
          <w:sz w:val="24"/>
          <w:szCs w:val="24"/>
          <w:rtl/>
        </w:rPr>
        <w:t>עסקינן בתביעה שכותרתה "</w:t>
      </w:r>
      <w:r>
        <w:rPr>
          <w:rFonts w:ascii="David" w:hAnsi="David" w:cs="David"/>
          <w:b/>
          <w:bCs/>
          <w:sz w:val="24"/>
          <w:szCs w:val="24"/>
          <w:rtl/>
        </w:rPr>
        <w:t>ביטול פסק דין מיום 15.5.2022 שניתן כביכול בהסכמה</w:t>
      </w:r>
      <w:r>
        <w:rPr>
          <w:rFonts w:ascii="David" w:hAnsi="David" w:cs="David"/>
          <w:sz w:val="24"/>
          <w:szCs w:val="24"/>
          <w:rtl/>
        </w:rPr>
        <w:t>".</w:t>
      </w:r>
    </w:p>
    <w:p w:rsidR="00970FD9" w:rsidRDefault="00970FD9" w:rsidP="00970FD9">
      <w:pPr>
        <w:pStyle w:val="ad"/>
        <w:ind w:left="368"/>
        <w:jc w:val="both"/>
        <w:rPr>
          <w:rFonts w:ascii="David" w:hAnsi="David" w:cs="David"/>
          <w:sz w:val="24"/>
          <w:szCs w:val="24"/>
        </w:rPr>
      </w:pPr>
    </w:p>
    <w:p w:rsidR="00735A7B" w:rsidRDefault="00970FD9" w:rsidP="00735A7B">
      <w:pPr>
        <w:pStyle w:val="ad"/>
        <w:numPr>
          <w:ilvl w:val="0"/>
          <w:numId w:val="1"/>
        </w:numPr>
        <w:spacing w:line="360" w:lineRule="auto"/>
        <w:ind w:left="368" w:hanging="426"/>
        <w:jc w:val="both"/>
        <w:rPr>
          <w:rFonts w:ascii="David" w:hAnsi="David" w:cs="David"/>
          <w:sz w:val="24"/>
          <w:szCs w:val="24"/>
        </w:rPr>
      </w:pPr>
      <w:r>
        <w:rPr>
          <w:rFonts w:ascii="David" w:hAnsi="David" w:cs="David"/>
          <w:sz w:val="24"/>
          <w:szCs w:val="24"/>
          <w:rtl/>
        </w:rPr>
        <w:t xml:space="preserve">יצוין כי מדובר בפסק דין שנתן תוקף להסכמות הצדדים, </w:t>
      </w:r>
      <w:r>
        <w:rPr>
          <w:rFonts w:ascii="David" w:hAnsi="David" w:cs="David"/>
          <w:b/>
          <w:bCs/>
          <w:sz w:val="24"/>
          <w:szCs w:val="24"/>
          <w:rtl/>
        </w:rPr>
        <w:t>שניתנו בדיון במעמד הצדדים</w:t>
      </w:r>
      <w:r>
        <w:rPr>
          <w:rFonts w:ascii="David" w:hAnsi="David" w:cs="David"/>
          <w:sz w:val="24"/>
          <w:szCs w:val="24"/>
          <w:rtl/>
        </w:rPr>
        <w:t xml:space="preserve">, </w:t>
      </w:r>
      <w:r>
        <w:rPr>
          <w:rFonts w:ascii="David" w:hAnsi="David" w:cs="David"/>
          <w:b/>
          <w:bCs/>
          <w:sz w:val="24"/>
          <w:szCs w:val="24"/>
          <w:rtl/>
        </w:rPr>
        <w:t>בעת</w:t>
      </w:r>
      <w:r w:rsidR="00F37117">
        <w:rPr>
          <w:rFonts w:ascii="David" w:hAnsi="David" w:cs="David"/>
          <w:b/>
          <w:bCs/>
          <w:sz w:val="24"/>
          <w:szCs w:val="24"/>
          <w:rtl/>
        </w:rPr>
        <w:t xml:space="preserve"> שהתובע היה מיוצג על ידי עו"ד ב</w:t>
      </w:r>
      <w:r w:rsidR="00F37117">
        <w:rPr>
          <w:rFonts w:ascii="David" w:hAnsi="David" w:cs="David" w:hint="cs"/>
          <w:b/>
          <w:bCs/>
          <w:sz w:val="24"/>
          <w:szCs w:val="24"/>
          <w:rtl/>
        </w:rPr>
        <w:t>'</w:t>
      </w:r>
      <w:r w:rsidR="00F37117">
        <w:rPr>
          <w:rFonts w:ascii="David" w:hAnsi="David" w:cs="David"/>
          <w:b/>
          <w:bCs/>
          <w:sz w:val="24"/>
          <w:szCs w:val="24"/>
          <w:rtl/>
        </w:rPr>
        <w:t xml:space="preserve"> ז</w:t>
      </w:r>
      <w:r w:rsidR="00F37117">
        <w:rPr>
          <w:rFonts w:ascii="David" w:hAnsi="David" w:cs="David" w:hint="cs"/>
          <w:b/>
          <w:bCs/>
          <w:sz w:val="24"/>
          <w:szCs w:val="24"/>
          <w:rtl/>
        </w:rPr>
        <w:t>'</w:t>
      </w:r>
      <w:r>
        <w:rPr>
          <w:rFonts w:ascii="David" w:hAnsi="David" w:cs="David"/>
          <w:sz w:val="24"/>
          <w:szCs w:val="24"/>
          <w:rtl/>
        </w:rPr>
        <w:t>, ביום 15.5.2022, בתיק קשור - ה"ט</w:t>
      </w:r>
      <w:r w:rsidR="006442E2">
        <w:rPr>
          <w:rFonts w:ascii="David" w:hAnsi="David" w:cs="David" w:hint="cs"/>
          <w:sz w:val="24"/>
          <w:szCs w:val="24"/>
          <w:rtl/>
        </w:rPr>
        <w:t xml:space="preserve"> 25650-05-22</w:t>
      </w:r>
      <w:r>
        <w:rPr>
          <w:rFonts w:ascii="David" w:hAnsi="David" w:cs="David"/>
          <w:sz w:val="24"/>
          <w:szCs w:val="24"/>
          <w:rtl/>
        </w:rPr>
        <w:t>, שהתקיים בפני חברתי</w:t>
      </w:r>
      <w:r w:rsidR="006442E2">
        <w:rPr>
          <w:rFonts w:ascii="David" w:hAnsi="David" w:cs="David" w:hint="cs"/>
          <w:sz w:val="24"/>
          <w:szCs w:val="24"/>
          <w:rtl/>
        </w:rPr>
        <w:t>,</w:t>
      </w:r>
      <w:r>
        <w:rPr>
          <w:rFonts w:ascii="David" w:hAnsi="David" w:cs="David"/>
          <w:sz w:val="24"/>
          <w:szCs w:val="24"/>
          <w:rtl/>
        </w:rPr>
        <w:t xml:space="preserve"> כבוד השופטת אליה נוס</w:t>
      </w:r>
      <w:r w:rsidR="00735A7B">
        <w:rPr>
          <w:rFonts w:ascii="David" w:hAnsi="David" w:cs="David" w:hint="cs"/>
          <w:sz w:val="24"/>
          <w:szCs w:val="24"/>
          <w:rtl/>
        </w:rPr>
        <w:t>, אותו מבקש התובע לבטל</w:t>
      </w:r>
      <w:r>
        <w:rPr>
          <w:rFonts w:ascii="David" w:hAnsi="David" w:cs="David"/>
          <w:sz w:val="24"/>
          <w:szCs w:val="24"/>
          <w:rtl/>
        </w:rPr>
        <w:t>.</w:t>
      </w:r>
      <w:r w:rsidR="00D41A59">
        <w:rPr>
          <w:rFonts w:ascii="David" w:hAnsi="David" w:cs="David" w:hint="cs"/>
          <w:sz w:val="24"/>
          <w:szCs w:val="24"/>
          <w:rtl/>
        </w:rPr>
        <w:t xml:space="preserve"> </w:t>
      </w:r>
    </w:p>
    <w:p w:rsidR="00735A7B" w:rsidRPr="00735A7B" w:rsidRDefault="00735A7B" w:rsidP="00735A7B">
      <w:pPr>
        <w:pStyle w:val="ad"/>
        <w:rPr>
          <w:rFonts w:ascii="David" w:hAnsi="David" w:cs="David"/>
          <w:sz w:val="24"/>
          <w:szCs w:val="24"/>
          <w:rtl/>
        </w:rPr>
      </w:pPr>
    </w:p>
    <w:p w:rsidR="00970FD9" w:rsidRPr="00D41A59" w:rsidRDefault="00970FD9" w:rsidP="00D41A59">
      <w:pPr>
        <w:pStyle w:val="ad"/>
        <w:numPr>
          <w:ilvl w:val="0"/>
          <w:numId w:val="1"/>
        </w:numPr>
        <w:spacing w:line="360" w:lineRule="auto"/>
        <w:ind w:left="368" w:hanging="426"/>
        <w:jc w:val="both"/>
        <w:rPr>
          <w:rFonts w:ascii="David" w:hAnsi="David" w:cs="David"/>
          <w:sz w:val="24"/>
          <w:szCs w:val="24"/>
          <w:rtl/>
        </w:rPr>
      </w:pPr>
      <w:r w:rsidRPr="00D41A59">
        <w:rPr>
          <w:rFonts w:ascii="David" w:hAnsi="David" w:cs="David"/>
          <w:sz w:val="24"/>
          <w:szCs w:val="24"/>
          <w:rtl/>
        </w:rPr>
        <w:t>הסכמות הצדדים קצרות, ועל כן יובאו במלואן, להלן:</w:t>
      </w:r>
    </w:p>
    <w:p w:rsidR="00970FD9" w:rsidRDefault="00DF1E34" w:rsidP="00DF1E34">
      <w:pPr>
        <w:ind w:right="709" w:firstLine="283"/>
        <w:jc w:val="both"/>
        <w:rPr>
          <w:rFonts w:ascii="David" w:hAnsi="David"/>
          <w:rtl/>
        </w:rPr>
      </w:pPr>
      <w:r w:rsidRPr="00DF1E34">
        <w:rPr>
          <w:rFonts w:ascii="David" w:hAnsi="David"/>
          <w:rtl/>
        </w:rPr>
        <w:drawing>
          <wp:inline distT="0" distB="0" distL="0" distR="0" wp14:anchorId="29554CD4" wp14:editId="1BF9F42F">
            <wp:extent cx="5400675" cy="1271270"/>
            <wp:effectExtent l="0" t="0" r="9525" b="5080"/>
            <wp:docPr id="8" name="תמונה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400675" cy="1271270"/>
                    </a:xfrm>
                    <a:prstGeom prst="rect">
                      <a:avLst/>
                    </a:prstGeom>
                  </pic:spPr>
                </pic:pic>
              </a:graphicData>
            </a:graphic>
          </wp:inline>
        </w:drawing>
      </w:r>
    </w:p>
    <w:p w:rsidR="00970FD9" w:rsidRDefault="00DF1E34" w:rsidP="00DF1E34">
      <w:pPr>
        <w:tabs>
          <w:tab w:val="left" w:pos="0"/>
        </w:tabs>
        <w:ind w:left="567" w:right="993" w:hanging="426"/>
        <w:jc w:val="both"/>
        <w:rPr>
          <w:rFonts w:ascii="David" w:hAnsi="David"/>
          <w:rtl/>
        </w:rPr>
      </w:pPr>
      <w:r w:rsidRPr="00DF1E34">
        <w:rPr>
          <w:rFonts w:ascii="David" w:hAnsi="David"/>
          <w:rtl/>
        </w:rPr>
        <w:drawing>
          <wp:inline distT="0" distB="0" distL="0" distR="0" wp14:anchorId="4104302B" wp14:editId="5768E37C">
            <wp:extent cx="5400675" cy="1050290"/>
            <wp:effectExtent l="0" t="0" r="9525" b="0"/>
            <wp:docPr id="9" name="תמונה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400675" cy="1050290"/>
                    </a:xfrm>
                    <a:prstGeom prst="rect">
                      <a:avLst/>
                    </a:prstGeom>
                  </pic:spPr>
                </pic:pic>
              </a:graphicData>
            </a:graphic>
          </wp:inline>
        </w:drawing>
      </w:r>
    </w:p>
    <w:p w:rsidR="00735A7B" w:rsidRDefault="00970FD9" w:rsidP="006442E2">
      <w:pPr>
        <w:jc w:val="both"/>
        <w:rPr>
          <w:rFonts w:ascii="David" w:hAnsi="David"/>
          <w:rtl/>
        </w:rPr>
      </w:pPr>
      <w:r>
        <w:rPr>
          <w:rFonts w:ascii="David" w:hAnsi="David"/>
          <w:rtl/>
        </w:rPr>
        <w:tab/>
      </w:r>
      <w:r>
        <w:rPr>
          <w:rFonts w:ascii="David" w:hAnsi="David"/>
          <w:rtl/>
        </w:rPr>
        <w:tab/>
      </w:r>
      <w:r>
        <w:rPr>
          <w:rFonts w:ascii="David" w:hAnsi="David"/>
          <w:rtl/>
        </w:rPr>
        <w:tab/>
      </w:r>
      <w:r>
        <w:rPr>
          <w:rFonts w:ascii="David" w:hAnsi="David"/>
          <w:rtl/>
        </w:rPr>
        <w:tab/>
      </w:r>
      <w:r>
        <w:rPr>
          <w:rFonts w:ascii="David" w:hAnsi="David"/>
          <w:rtl/>
        </w:rPr>
        <w:tab/>
      </w:r>
      <w:r>
        <w:rPr>
          <w:rFonts w:ascii="David" w:hAnsi="David"/>
          <w:rtl/>
        </w:rPr>
        <w:tab/>
      </w:r>
      <w:r>
        <w:rPr>
          <w:rFonts w:ascii="David" w:hAnsi="David"/>
          <w:rtl/>
        </w:rPr>
        <w:tab/>
      </w:r>
      <w:r>
        <w:rPr>
          <w:rFonts w:ascii="David" w:hAnsi="David"/>
          <w:rtl/>
        </w:rPr>
        <w:tab/>
      </w:r>
    </w:p>
    <w:p w:rsidR="00970FD9" w:rsidRDefault="006442E2" w:rsidP="00735A7B">
      <w:pPr>
        <w:ind w:left="5760" w:firstLine="720"/>
        <w:jc w:val="both"/>
        <w:rPr>
          <w:rFonts w:ascii="David" w:hAnsi="David"/>
          <w:rtl/>
        </w:rPr>
      </w:pPr>
      <w:r>
        <w:rPr>
          <w:rFonts w:ascii="David" w:hAnsi="David" w:hint="cs"/>
          <w:rtl/>
        </w:rPr>
        <w:t>(</w:t>
      </w:r>
      <w:r w:rsidR="00970FD9">
        <w:rPr>
          <w:rFonts w:ascii="David" w:hAnsi="David"/>
          <w:rtl/>
        </w:rPr>
        <w:t>להלן: "</w:t>
      </w:r>
      <w:r w:rsidR="00970FD9">
        <w:rPr>
          <w:rFonts w:ascii="David" w:hAnsi="David"/>
          <w:b/>
          <w:bCs/>
          <w:rtl/>
        </w:rPr>
        <w:t>ההסכמות</w:t>
      </w:r>
      <w:r w:rsidR="00970FD9">
        <w:rPr>
          <w:rFonts w:ascii="David" w:hAnsi="David"/>
          <w:rtl/>
        </w:rPr>
        <w:t>"</w:t>
      </w:r>
      <w:r>
        <w:rPr>
          <w:rFonts w:ascii="David" w:hAnsi="David" w:hint="cs"/>
          <w:rtl/>
        </w:rPr>
        <w:t>)</w:t>
      </w:r>
    </w:p>
    <w:p w:rsidR="00970FD9" w:rsidRDefault="00970FD9" w:rsidP="00970FD9">
      <w:pPr>
        <w:pStyle w:val="ad"/>
        <w:ind w:left="368"/>
        <w:jc w:val="both"/>
        <w:rPr>
          <w:rFonts w:ascii="David" w:hAnsi="David" w:cs="David"/>
          <w:sz w:val="24"/>
          <w:szCs w:val="24"/>
          <w:rtl/>
        </w:rPr>
      </w:pPr>
    </w:p>
    <w:p w:rsidR="00970FD9" w:rsidRDefault="00970FD9" w:rsidP="00735A7B">
      <w:pPr>
        <w:pStyle w:val="ad"/>
        <w:numPr>
          <w:ilvl w:val="0"/>
          <w:numId w:val="1"/>
        </w:numPr>
        <w:ind w:left="368" w:hanging="426"/>
        <w:jc w:val="both"/>
        <w:rPr>
          <w:rFonts w:ascii="David" w:hAnsi="David" w:cs="David"/>
          <w:sz w:val="24"/>
          <w:szCs w:val="24"/>
        </w:rPr>
      </w:pPr>
      <w:r>
        <w:rPr>
          <w:rFonts w:ascii="David" w:hAnsi="David" w:cs="David"/>
          <w:sz w:val="24"/>
          <w:szCs w:val="24"/>
          <w:rtl/>
        </w:rPr>
        <w:t>ההסכמות כאמור קיבלו תוקף של פסק דין</w:t>
      </w:r>
      <w:r w:rsidR="00D41A59">
        <w:rPr>
          <w:rFonts w:ascii="David" w:hAnsi="David" w:cs="David" w:hint="cs"/>
          <w:sz w:val="24"/>
          <w:szCs w:val="24"/>
          <w:rtl/>
        </w:rPr>
        <w:t xml:space="preserve"> </w:t>
      </w:r>
      <w:r>
        <w:rPr>
          <w:rFonts w:ascii="David" w:hAnsi="David" w:cs="David"/>
          <w:sz w:val="24"/>
          <w:szCs w:val="24"/>
          <w:rtl/>
        </w:rPr>
        <w:t>כדלהלן:</w:t>
      </w:r>
    </w:p>
    <w:p w:rsidR="00970FD9" w:rsidRDefault="00970FD9" w:rsidP="00970FD9">
      <w:pPr>
        <w:ind w:left="368"/>
        <w:jc w:val="both"/>
        <w:rPr>
          <w:rFonts w:ascii="David" w:hAnsi="David"/>
          <w:rtl/>
        </w:rPr>
      </w:pPr>
      <w:r>
        <w:rPr>
          <w:rFonts w:ascii="David" w:hAnsi="David"/>
          <w:rtl/>
        </w:rPr>
        <w:lastRenderedPageBreak/>
        <w:tab/>
      </w:r>
      <w:r>
        <w:rPr>
          <w:rFonts w:ascii="David" w:hAnsi="David"/>
          <w:rtl/>
        </w:rPr>
        <w:tab/>
      </w:r>
      <w:r>
        <w:rPr>
          <w:rFonts w:ascii="David" w:hAnsi="David"/>
          <w:rtl/>
        </w:rPr>
        <w:tab/>
      </w:r>
      <w:r>
        <w:rPr>
          <w:rFonts w:ascii="David" w:hAnsi="David"/>
          <w:rtl/>
        </w:rPr>
        <w:tab/>
      </w:r>
      <w:r>
        <w:rPr>
          <w:rFonts w:ascii="David" w:hAnsi="David"/>
          <w:rtl/>
        </w:rPr>
        <w:tab/>
      </w:r>
      <w:r>
        <w:rPr>
          <w:rFonts w:ascii="David" w:hAnsi="David"/>
          <w:rtl/>
        </w:rPr>
        <w:tab/>
      </w:r>
      <w:r>
        <w:rPr>
          <w:rFonts w:ascii="David" w:hAnsi="David"/>
        </w:rPr>
        <w:drawing>
          <wp:inline distT="0" distB="0" distL="0" distR="0">
            <wp:extent cx="4467225" cy="1285875"/>
            <wp:effectExtent l="0" t="0" r="9525" b="9525"/>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67225" cy="1285875"/>
                    </a:xfrm>
                    <a:prstGeom prst="rect">
                      <a:avLst/>
                    </a:prstGeom>
                    <a:noFill/>
                    <a:ln>
                      <a:noFill/>
                    </a:ln>
                  </pic:spPr>
                </pic:pic>
              </a:graphicData>
            </a:graphic>
          </wp:inline>
        </w:drawing>
      </w:r>
    </w:p>
    <w:p w:rsidR="00970FD9" w:rsidRDefault="00735A7B" w:rsidP="00735A7B">
      <w:pPr>
        <w:ind w:left="5040" w:firstLine="720"/>
        <w:jc w:val="both"/>
        <w:rPr>
          <w:rFonts w:ascii="David" w:hAnsi="David"/>
          <w:rtl/>
        </w:rPr>
      </w:pPr>
      <w:r>
        <w:rPr>
          <w:rFonts w:ascii="David" w:hAnsi="David" w:hint="cs"/>
          <w:rtl/>
        </w:rPr>
        <w:t>(להלן: "</w:t>
      </w:r>
      <w:r w:rsidRPr="00D41A59">
        <w:rPr>
          <w:rFonts w:ascii="David" w:hAnsi="David" w:hint="cs"/>
          <w:b/>
          <w:bCs/>
          <w:rtl/>
        </w:rPr>
        <w:t>פסק הדין</w:t>
      </w:r>
      <w:r>
        <w:rPr>
          <w:rFonts w:ascii="David" w:hAnsi="David" w:hint="cs"/>
          <w:rtl/>
        </w:rPr>
        <w:t>")</w:t>
      </w:r>
    </w:p>
    <w:p w:rsidR="00735A7B" w:rsidRDefault="00735A7B" w:rsidP="00735A7B">
      <w:pPr>
        <w:ind w:left="5040" w:firstLine="720"/>
        <w:jc w:val="both"/>
        <w:rPr>
          <w:rFonts w:ascii="David" w:hAnsi="David"/>
          <w:rtl/>
        </w:rPr>
      </w:pPr>
    </w:p>
    <w:p w:rsidR="00735A7B" w:rsidRDefault="00735A7B" w:rsidP="00735A7B">
      <w:pPr>
        <w:ind w:left="5040" w:firstLine="720"/>
        <w:jc w:val="both"/>
        <w:rPr>
          <w:rFonts w:ascii="David" w:hAnsi="David"/>
          <w:rtl/>
        </w:rPr>
      </w:pPr>
    </w:p>
    <w:p w:rsidR="00970FD9" w:rsidRDefault="00970FD9" w:rsidP="00970FD9">
      <w:pPr>
        <w:pStyle w:val="ad"/>
        <w:numPr>
          <w:ilvl w:val="0"/>
          <w:numId w:val="1"/>
        </w:numPr>
        <w:spacing w:line="360" w:lineRule="auto"/>
        <w:ind w:left="368" w:hanging="426"/>
        <w:jc w:val="both"/>
        <w:rPr>
          <w:rFonts w:ascii="David" w:hAnsi="David" w:cs="David"/>
          <w:sz w:val="24"/>
          <w:szCs w:val="24"/>
          <w:rtl/>
        </w:rPr>
      </w:pPr>
      <w:r>
        <w:rPr>
          <w:rFonts w:ascii="David" w:hAnsi="David" w:cs="David"/>
          <w:sz w:val="24"/>
          <w:szCs w:val="24"/>
          <w:rtl/>
        </w:rPr>
        <w:t xml:space="preserve">בסעד המבוקש בכתב התביעה כותב התובע כך: </w:t>
      </w:r>
      <w:bookmarkStart w:id="1" w:name="_Hlk181598886"/>
      <w:r>
        <w:rPr>
          <w:rFonts w:ascii="David" w:hAnsi="David" w:cs="David"/>
          <w:sz w:val="24"/>
          <w:szCs w:val="24"/>
          <w:rtl/>
        </w:rPr>
        <w:t>"</w:t>
      </w:r>
      <w:r>
        <w:rPr>
          <w:rFonts w:ascii="David" w:hAnsi="David" w:cs="David"/>
          <w:b/>
          <w:bCs/>
          <w:sz w:val="24"/>
          <w:szCs w:val="24"/>
          <w:rtl/>
        </w:rPr>
        <w:t xml:space="preserve">ביטול פסק הדין, שניתן כביכול בהסכמה, בתיק צו הגנה, האוסר על המבקש לחזור לגור בביתו, ומכירת הבית במסגרת כונסי נכסים, למרות שהבית הרשום רק על שמו של התובע והוא בפירוש לא נתן את הסכמתו לאותן הסכמות </w:t>
      </w:r>
      <w:r w:rsidR="0067714E">
        <w:rPr>
          <w:rFonts w:ascii="David" w:hAnsi="David" w:cs="David"/>
          <w:b/>
          <w:bCs/>
          <w:sz w:val="24"/>
          <w:szCs w:val="24"/>
          <w:rtl/>
        </w:rPr>
        <w:t>שניתנו בשמו על ידי עורך הדין ג</w:t>
      </w:r>
      <w:r w:rsidR="0067714E">
        <w:rPr>
          <w:rFonts w:ascii="David" w:hAnsi="David" w:cs="David" w:hint="cs"/>
          <w:b/>
          <w:bCs/>
          <w:sz w:val="24"/>
          <w:szCs w:val="24"/>
          <w:rtl/>
        </w:rPr>
        <w:t>'</w:t>
      </w:r>
      <w:r>
        <w:rPr>
          <w:rFonts w:ascii="David" w:hAnsi="David" w:cs="David"/>
          <w:b/>
          <w:bCs/>
          <w:sz w:val="24"/>
          <w:szCs w:val="24"/>
          <w:rtl/>
        </w:rPr>
        <w:t xml:space="preserve"> </w:t>
      </w:r>
      <w:r w:rsidR="00F37117">
        <w:rPr>
          <w:rFonts w:ascii="David" w:hAnsi="David" w:cs="David"/>
          <w:b/>
          <w:bCs/>
          <w:sz w:val="24"/>
          <w:szCs w:val="24"/>
          <w:rtl/>
        </w:rPr>
        <w:t>ב' ז'</w:t>
      </w:r>
      <w:r>
        <w:rPr>
          <w:rFonts w:ascii="David" w:hAnsi="David" w:cs="David"/>
          <w:sz w:val="24"/>
          <w:szCs w:val="24"/>
          <w:rtl/>
        </w:rPr>
        <w:t>".</w:t>
      </w:r>
    </w:p>
    <w:bookmarkEnd w:id="1"/>
    <w:p w:rsidR="00735A7B" w:rsidRDefault="00735A7B" w:rsidP="00970FD9">
      <w:pPr>
        <w:jc w:val="both"/>
        <w:rPr>
          <w:rFonts w:ascii="David" w:hAnsi="David"/>
          <w:b/>
          <w:bCs/>
          <w:sz w:val="26"/>
          <w:szCs w:val="26"/>
          <w:u w:val="single"/>
          <w:rtl/>
        </w:rPr>
      </w:pPr>
    </w:p>
    <w:p w:rsidR="00970FD9" w:rsidRDefault="00970FD9" w:rsidP="00970FD9">
      <w:pPr>
        <w:jc w:val="both"/>
        <w:rPr>
          <w:rFonts w:ascii="David" w:hAnsi="David"/>
          <w:b/>
          <w:bCs/>
          <w:sz w:val="26"/>
          <w:szCs w:val="26"/>
          <w:u w:val="single"/>
        </w:rPr>
      </w:pPr>
      <w:r>
        <w:rPr>
          <w:rFonts w:ascii="David" w:hAnsi="David"/>
          <w:b/>
          <w:bCs/>
          <w:sz w:val="26"/>
          <w:szCs w:val="26"/>
          <w:u w:val="single"/>
          <w:rtl/>
        </w:rPr>
        <w:t>רקע כללי בתמצית:</w:t>
      </w:r>
    </w:p>
    <w:p w:rsidR="00970FD9" w:rsidRDefault="00970FD9" w:rsidP="00970FD9">
      <w:pPr>
        <w:pStyle w:val="ad"/>
        <w:spacing w:line="360" w:lineRule="auto"/>
        <w:ind w:left="368"/>
        <w:jc w:val="both"/>
        <w:rPr>
          <w:rFonts w:ascii="David" w:hAnsi="David" w:cs="David"/>
          <w:sz w:val="24"/>
          <w:szCs w:val="24"/>
          <w:rtl/>
        </w:rPr>
      </w:pPr>
    </w:p>
    <w:p w:rsidR="00970FD9" w:rsidRDefault="00970FD9" w:rsidP="00970FD9">
      <w:pPr>
        <w:pStyle w:val="ad"/>
        <w:numPr>
          <w:ilvl w:val="0"/>
          <w:numId w:val="1"/>
        </w:numPr>
        <w:spacing w:line="360" w:lineRule="auto"/>
        <w:ind w:left="368" w:hanging="426"/>
        <w:jc w:val="both"/>
        <w:rPr>
          <w:rFonts w:ascii="David" w:hAnsi="David" w:cs="David"/>
          <w:sz w:val="24"/>
          <w:szCs w:val="24"/>
        </w:rPr>
      </w:pPr>
      <w:r>
        <w:rPr>
          <w:rFonts w:ascii="David" w:hAnsi="David" w:cs="David"/>
          <w:sz w:val="24"/>
          <w:szCs w:val="24"/>
          <w:rtl/>
        </w:rPr>
        <w:t>הצדדים נישאו ביום 3.1.2012 ומנישואים אלה הביאו לעולם 2 ילדים משותפים:</w:t>
      </w:r>
    </w:p>
    <w:p w:rsidR="00970FD9" w:rsidRDefault="00DF1E34" w:rsidP="00970FD9">
      <w:pPr>
        <w:pStyle w:val="ad"/>
        <w:spacing w:line="360" w:lineRule="auto"/>
        <w:ind w:left="368"/>
        <w:jc w:val="both"/>
        <w:rPr>
          <w:rFonts w:ascii="David" w:hAnsi="David" w:cs="David"/>
          <w:sz w:val="24"/>
          <w:szCs w:val="24"/>
        </w:rPr>
      </w:pPr>
      <w:r>
        <w:rPr>
          <w:rFonts w:ascii="David" w:hAnsi="David" w:cs="David"/>
          <w:sz w:val="24"/>
          <w:szCs w:val="24"/>
          <w:rtl/>
        </w:rPr>
        <w:t>נ</w:t>
      </w:r>
      <w:r>
        <w:rPr>
          <w:rFonts w:ascii="David" w:hAnsi="David" w:cs="David" w:hint="cs"/>
          <w:sz w:val="24"/>
          <w:szCs w:val="24"/>
          <w:rtl/>
        </w:rPr>
        <w:t>'</w:t>
      </w:r>
      <w:r>
        <w:rPr>
          <w:rFonts w:ascii="David" w:hAnsi="David" w:cs="David"/>
          <w:sz w:val="24"/>
          <w:szCs w:val="24"/>
          <w:rtl/>
        </w:rPr>
        <w:t>, יליד 6.3.2015 ו</w:t>
      </w:r>
      <w:r>
        <w:rPr>
          <w:rFonts w:ascii="David" w:hAnsi="David" w:cs="David" w:hint="cs"/>
          <w:sz w:val="24"/>
          <w:szCs w:val="24"/>
          <w:rtl/>
        </w:rPr>
        <w:t>ה'</w:t>
      </w:r>
      <w:r w:rsidR="00970FD9">
        <w:rPr>
          <w:rFonts w:ascii="David" w:hAnsi="David" w:cs="David"/>
          <w:sz w:val="24"/>
          <w:szCs w:val="24"/>
          <w:rtl/>
        </w:rPr>
        <w:t>, יליד 25.5.2016 (להלן: "</w:t>
      </w:r>
      <w:r w:rsidR="00970FD9">
        <w:rPr>
          <w:rFonts w:ascii="David" w:hAnsi="David" w:cs="David"/>
          <w:b/>
          <w:bCs/>
          <w:sz w:val="24"/>
          <w:szCs w:val="24"/>
          <w:rtl/>
        </w:rPr>
        <w:t>הקטינים</w:t>
      </w:r>
      <w:r w:rsidR="00970FD9">
        <w:rPr>
          <w:rFonts w:ascii="David" w:hAnsi="David" w:cs="David"/>
          <w:sz w:val="24"/>
          <w:szCs w:val="24"/>
          <w:rtl/>
        </w:rPr>
        <w:t>").</w:t>
      </w:r>
    </w:p>
    <w:p w:rsidR="00970FD9" w:rsidRDefault="00970FD9" w:rsidP="00970FD9">
      <w:pPr>
        <w:pStyle w:val="ad"/>
        <w:spacing w:line="240" w:lineRule="auto"/>
        <w:ind w:left="368"/>
        <w:jc w:val="both"/>
        <w:rPr>
          <w:rFonts w:ascii="David" w:hAnsi="David" w:cs="David"/>
          <w:sz w:val="24"/>
          <w:szCs w:val="24"/>
          <w:rtl/>
        </w:rPr>
      </w:pPr>
    </w:p>
    <w:p w:rsidR="00970FD9" w:rsidRDefault="00970FD9" w:rsidP="00DF1E34">
      <w:pPr>
        <w:pStyle w:val="ad"/>
        <w:numPr>
          <w:ilvl w:val="0"/>
          <w:numId w:val="1"/>
        </w:numPr>
        <w:spacing w:line="360" w:lineRule="auto"/>
        <w:ind w:left="368" w:hanging="426"/>
        <w:jc w:val="both"/>
        <w:rPr>
          <w:rFonts w:ascii="David" w:hAnsi="David" w:cs="David"/>
          <w:sz w:val="24"/>
          <w:szCs w:val="24"/>
        </w:rPr>
      </w:pPr>
      <w:r>
        <w:rPr>
          <w:rFonts w:ascii="David" w:hAnsi="David" w:cs="David"/>
          <w:sz w:val="24"/>
          <w:szCs w:val="24"/>
          <w:rtl/>
        </w:rPr>
        <w:t xml:space="preserve">בעת חייהם המשותפים של הצדדים, התגוררו הם יחד עם הקטינים, בבית המגורים המצוי ברחוב </w:t>
      </w:r>
      <w:r w:rsidR="00DF1E34">
        <w:rPr>
          <w:rFonts w:ascii="David" w:hAnsi="David" w:cs="David" w:hint="cs"/>
          <w:sz w:val="24"/>
          <w:szCs w:val="24"/>
          <w:rtl/>
        </w:rPr>
        <w:t>------- ----------</w:t>
      </w:r>
      <w:r>
        <w:rPr>
          <w:rFonts w:ascii="David" w:hAnsi="David" w:cs="David"/>
          <w:sz w:val="24"/>
          <w:szCs w:val="24"/>
          <w:rtl/>
        </w:rPr>
        <w:t xml:space="preserve"> (להלן: "</w:t>
      </w:r>
      <w:r>
        <w:rPr>
          <w:rFonts w:ascii="David" w:hAnsi="David" w:cs="David"/>
          <w:b/>
          <w:bCs/>
          <w:sz w:val="24"/>
          <w:szCs w:val="24"/>
          <w:rtl/>
        </w:rPr>
        <w:t>בית המגורים</w:t>
      </w:r>
      <w:r>
        <w:rPr>
          <w:rFonts w:ascii="David" w:hAnsi="David" w:cs="David"/>
          <w:sz w:val="24"/>
          <w:szCs w:val="24"/>
          <w:rtl/>
        </w:rPr>
        <w:t>").</w:t>
      </w:r>
    </w:p>
    <w:p w:rsidR="00970FD9" w:rsidRDefault="00970FD9" w:rsidP="00970FD9">
      <w:pPr>
        <w:pStyle w:val="ad"/>
        <w:spacing w:line="240" w:lineRule="auto"/>
        <w:ind w:left="368"/>
        <w:jc w:val="both"/>
        <w:rPr>
          <w:rFonts w:ascii="David" w:hAnsi="David" w:cs="David"/>
          <w:sz w:val="24"/>
          <w:szCs w:val="24"/>
        </w:rPr>
      </w:pPr>
    </w:p>
    <w:p w:rsidR="00970FD9" w:rsidRDefault="00970FD9" w:rsidP="00970FD9">
      <w:pPr>
        <w:pStyle w:val="ad"/>
        <w:numPr>
          <w:ilvl w:val="0"/>
          <w:numId w:val="1"/>
        </w:numPr>
        <w:spacing w:line="360" w:lineRule="auto"/>
        <w:ind w:left="368" w:hanging="426"/>
        <w:jc w:val="both"/>
        <w:rPr>
          <w:rFonts w:ascii="David" w:hAnsi="David" w:cs="David"/>
          <w:sz w:val="24"/>
          <w:szCs w:val="24"/>
        </w:rPr>
      </w:pPr>
      <w:r>
        <w:rPr>
          <w:rFonts w:ascii="David" w:hAnsi="David" w:cs="David"/>
          <w:sz w:val="24"/>
          <w:szCs w:val="24"/>
          <w:rtl/>
        </w:rPr>
        <w:t>מאז מתן פסק הדין, מתגוררים בבית המגורים, הנתבעת והקטינים בלבד.</w:t>
      </w:r>
    </w:p>
    <w:p w:rsidR="00970FD9" w:rsidRDefault="00970FD9" w:rsidP="00970FD9">
      <w:pPr>
        <w:pStyle w:val="ad"/>
        <w:rPr>
          <w:rFonts w:ascii="David" w:hAnsi="David" w:cs="David"/>
          <w:sz w:val="24"/>
          <w:szCs w:val="24"/>
        </w:rPr>
      </w:pPr>
    </w:p>
    <w:p w:rsidR="00970FD9" w:rsidRDefault="00970FD9" w:rsidP="00970FD9">
      <w:pPr>
        <w:jc w:val="both"/>
        <w:rPr>
          <w:rFonts w:ascii="David" w:hAnsi="David"/>
          <w:b/>
          <w:bCs/>
          <w:sz w:val="26"/>
          <w:szCs w:val="26"/>
          <w:u w:val="single"/>
        </w:rPr>
      </w:pPr>
      <w:r>
        <w:rPr>
          <w:rFonts w:ascii="David" w:hAnsi="David"/>
          <w:b/>
          <w:bCs/>
          <w:sz w:val="26"/>
          <w:szCs w:val="26"/>
          <w:u w:val="single"/>
          <w:rtl/>
        </w:rPr>
        <w:t>תמצית טענות התובע בכתבי הטענות:</w:t>
      </w:r>
    </w:p>
    <w:p w:rsidR="00970FD9" w:rsidRDefault="00970FD9" w:rsidP="00970FD9">
      <w:pPr>
        <w:pStyle w:val="ad"/>
        <w:spacing w:line="240" w:lineRule="auto"/>
        <w:ind w:left="368"/>
        <w:jc w:val="both"/>
        <w:rPr>
          <w:rFonts w:ascii="David" w:hAnsi="David" w:cs="David"/>
          <w:sz w:val="24"/>
          <w:szCs w:val="24"/>
          <w:rtl/>
        </w:rPr>
      </w:pPr>
    </w:p>
    <w:p w:rsidR="00970FD9" w:rsidRDefault="00970FD9" w:rsidP="00970FD9">
      <w:pPr>
        <w:pStyle w:val="ad"/>
        <w:numPr>
          <w:ilvl w:val="0"/>
          <w:numId w:val="1"/>
        </w:numPr>
        <w:spacing w:line="360" w:lineRule="auto"/>
        <w:ind w:left="368" w:hanging="426"/>
        <w:jc w:val="both"/>
        <w:rPr>
          <w:rFonts w:ascii="David" w:hAnsi="David" w:cs="David"/>
          <w:sz w:val="24"/>
          <w:szCs w:val="24"/>
        </w:rPr>
      </w:pPr>
      <w:r>
        <w:rPr>
          <w:rFonts w:ascii="David" w:hAnsi="David" w:cs="David"/>
          <w:sz w:val="24"/>
          <w:szCs w:val="24"/>
          <w:rtl/>
        </w:rPr>
        <w:t xml:space="preserve">ההסכמות הוקראו לפרוטוקול על ידי עו"ד </w:t>
      </w:r>
      <w:r w:rsidR="00F37117">
        <w:rPr>
          <w:rFonts w:ascii="David" w:hAnsi="David" w:cs="David"/>
          <w:sz w:val="24"/>
          <w:szCs w:val="24"/>
          <w:rtl/>
        </w:rPr>
        <w:t>ב' ז'</w:t>
      </w:r>
      <w:r>
        <w:rPr>
          <w:rFonts w:ascii="David" w:hAnsi="David" w:cs="David"/>
          <w:sz w:val="24"/>
          <w:szCs w:val="24"/>
          <w:rtl/>
        </w:rPr>
        <w:t>, למרות שהתובע לא נתן את הסכמתו ו/או את אישורו.</w:t>
      </w:r>
    </w:p>
    <w:p w:rsidR="00970FD9" w:rsidRDefault="00970FD9" w:rsidP="00970FD9">
      <w:pPr>
        <w:pStyle w:val="ad"/>
        <w:spacing w:line="240" w:lineRule="auto"/>
        <w:ind w:left="368"/>
        <w:jc w:val="both"/>
        <w:rPr>
          <w:rFonts w:ascii="David" w:hAnsi="David" w:cs="David"/>
          <w:sz w:val="24"/>
          <w:szCs w:val="24"/>
        </w:rPr>
      </w:pPr>
    </w:p>
    <w:p w:rsidR="00970FD9" w:rsidRDefault="00970FD9" w:rsidP="00970FD9">
      <w:pPr>
        <w:pStyle w:val="ad"/>
        <w:numPr>
          <w:ilvl w:val="0"/>
          <w:numId w:val="1"/>
        </w:numPr>
        <w:spacing w:line="360" w:lineRule="auto"/>
        <w:ind w:left="368" w:hanging="426"/>
        <w:jc w:val="both"/>
        <w:rPr>
          <w:rFonts w:ascii="David" w:hAnsi="David" w:cs="David"/>
          <w:sz w:val="24"/>
          <w:szCs w:val="24"/>
        </w:rPr>
      </w:pPr>
      <w:r>
        <w:rPr>
          <w:rFonts w:ascii="David" w:hAnsi="David" w:cs="David"/>
          <w:sz w:val="24"/>
          <w:szCs w:val="24"/>
          <w:rtl/>
        </w:rPr>
        <w:t xml:space="preserve">עו"ד </w:t>
      </w:r>
      <w:r w:rsidR="00F37117">
        <w:rPr>
          <w:rFonts w:ascii="David" w:hAnsi="David" w:cs="David"/>
          <w:sz w:val="24"/>
          <w:szCs w:val="24"/>
          <w:rtl/>
        </w:rPr>
        <w:t>ב' ז'</w:t>
      </w:r>
      <w:r>
        <w:rPr>
          <w:rFonts w:ascii="David" w:hAnsi="David" w:cs="David"/>
          <w:sz w:val="24"/>
          <w:szCs w:val="24"/>
          <w:rtl/>
        </w:rPr>
        <w:t xml:space="preserve"> לא שאל את התובע האם מסכים להסכמות והוא הסכים כביכול בשמו.</w:t>
      </w:r>
    </w:p>
    <w:p w:rsidR="00970FD9" w:rsidRDefault="00970FD9" w:rsidP="00970FD9">
      <w:pPr>
        <w:pStyle w:val="ad"/>
        <w:rPr>
          <w:rFonts w:ascii="David" w:hAnsi="David" w:cs="David"/>
          <w:sz w:val="24"/>
          <w:szCs w:val="24"/>
        </w:rPr>
      </w:pPr>
    </w:p>
    <w:p w:rsidR="00970FD9" w:rsidRDefault="00970FD9" w:rsidP="00970FD9">
      <w:pPr>
        <w:pStyle w:val="ad"/>
        <w:numPr>
          <w:ilvl w:val="0"/>
          <w:numId w:val="1"/>
        </w:numPr>
        <w:spacing w:line="360" w:lineRule="auto"/>
        <w:ind w:left="368" w:hanging="426"/>
        <w:jc w:val="both"/>
        <w:rPr>
          <w:rFonts w:ascii="David" w:hAnsi="David" w:cs="David"/>
          <w:sz w:val="24"/>
          <w:szCs w:val="24"/>
          <w:rtl/>
        </w:rPr>
      </w:pPr>
      <w:r>
        <w:rPr>
          <w:rFonts w:ascii="David" w:hAnsi="David" w:cs="David"/>
          <w:sz w:val="24"/>
          <w:szCs w:val="24"/>
          <w:rtl/>
        </w:rPr>
        <w:t xml:space="preserve">עו"ד </w:t>
      </w:r>
      <w:r w:rsidR="00F37117">
        <w:rPr>
          <w:rFonts w:ascii="David" w:hAnsi="David" w:cs="David"/>
          <w:sz w:val="24"/>
          <w:szCs w:val="24"/>
          <w:rtl/>
        </w:rPr>
        <w:t>ב' ז'</w:t>
      </w:r>
      <w:r>
        <w:rPr>
          <w:rFonts w:ascii="David" w:hAnsi="David" w:cs="David"/>
          <w:sz w:val="24"/>
          <w:szCs w:val="24"/>
          <w:rtl/>
        </w:rPr>
        <w:t xml:space="preserve"> לא ערך בירור עם התובע, קודם לדיון ואף לא במהלכו, בנושאים שהקריא לפרוטוקול, ולא בנושא בית המגורים אשר רשום על שם התובע.</w:t>
      </w:r>
    </w:p>
    <w:p w:rsidR="00970FD9" w:rsidRDefault="00970FD9" w:rsidP="00970FD9">
      <w:pPr>
        <w:pStyle w:val="ad"/>
        <w:rPr>
          <w:rFonts w:ascii="David" w:hAnsi="David" w:cs="David"/>
          <w:sz w:val="24"/>
          <w:szCs w:val="24"/>
        </w:rPr>
      </w:pPr>
    </w:p>
    <w:p w:rsidR="00970FD9" w:rsidRDefault="00970FD9" w:rsidP="00970FD9">
      <w:pPr>
        <w:pStyle w:val="ad"/>
        <w:numPr>
          <w:ilvl w:val="0"/>
          <w:numId w:val="1"/>
        </w:numPr>
        <w:spacing w:line="360" w:lineRule="auto"/>
        <w:ind w:left="368" w:hanging="426"/>
        <w:jc w:val="both"/>
        <w:rPr>
          <w:rFonts w:ascii="David" w:hAnsi="David" w:cs="David"/>
          <w:sz w:val="24"/>
          <w:szCs w:val="24"/>
          <w:rtl/>
        </w:rPr>
      </w:pPr>
      <w:r>
        <w:rPr>
          <w:rFonts w:ascii="David" w:hAnsi="David" w:cs="David"/>
          <w:sz w:val="24"/>
          <w:szCs w:val="24"/>
          <w:rtl/>
        </w:rPr>
        <w:t xml:space="preserve">עו"ד </w:t>
      </w:r>
      <w:r w:rsidR="00F37117">
        <w:rPr>
          <w:rFonts w:ascii="David" w:hAnsi="David" w:cs="David"/>
          <w:sz w:val="24"/>
          <w:szCs w:val="24"/>
          <w:rtl/>
        </w:rPr>
        <w:t>ב' ז'</w:t>
      </w:r>
      <w:r>
        <w:rPr>
          <w:rFonts w:ascii="David" w:hAnsi="David" w:cs="David"/>
          <w:sz w:val="24"/>
          <w:szCs w:val="24"/>
          <w:rtl/>
        </w:rPr>
        <w:t xml:space="preserve"> לא ביקש ולא קיבל שום מידע בנושא הרכושי בין הצדדים לפני שנתן הסכמות קיצוניות בשם התובע.</w:t>
      </w:r>
    </w:p>
    <w:p w:rsidR="00970FD9" w:rsidRDefault="00970FD9" w:rsidP="00970FD9">
      <w:pPr>
        <w:pStyle w:val="ad"/>
        <w:rPr>
          <w:rFonts w:ascii="David" w:hAnsi="David" w:cs="David"/>
          <w:sz w:val="24"/>
          <w:szCs w:val="24"/>
        </w:rPr>
      </w:pPr>
    </w:p>
    <w:p w:rsidR="00970FD9" w:rsidRDefault="00970FD9" w:rsidP="00970FD9">
      <w:pPr>
        <w:pStyle w:val="ad"/>
        <w:numPr>
          <w:ilvl w:val="0"/>
          <w:numId w:val="1"/>
        </w:numPr>
        <w:spacing w:line="360" w:lineRule="auto"/>
        <w:ind w:left="368" w:hanging="426"/>
        <w:jc w:val="both"/>
        <w:rPr>
          <w:rFonts w:ascii="David" w:hAnsi="David" w:cs="David"/>
          <w:sz w:val="24"/>
          <w:szCs w:val="24"/>
          <w:rtl/>
        </w:rPr>
      </w:pPr>
      <w:r>
        <w:rPr>
          <w:rFonts w:ascii="David" w:hAnsi="David" w:cs="David"/>
          <w:sz w:val="24"/>
          <w:szCs w:val="24"/>
          <w:rtl/>
        </w:rPr>
        <w:lastRenderedPageBreak/>
        <w:t xml:space="preserve">עו"ד </w:t>
      </w:r>
      <w:r w:rsidR="00F37117">
        <w:rPr>
          <w:rFonts w:ascii="David" w:hAnsi="David" w:cs="David"/>
          <w:sz w:val="24"/>
          <w:szCs w:val="24"/>
          <w:rtl/>
        </w:rPr>
        <w:t>ב' ז'</w:t>
      </w:r>
      <w:r>
        <w:rPr>
          <w:rFonts w:ascii="David" w:hAnsi="David" w:cs="David"/>
          <w:sz w:val="24"/>
          <w:szCs w:val="24"/>
          <w:rtl/>
        </w:rPr>
        <w:t xml:space="preserve"> הסכים בשם התובע למתן צו לפירוק שיתוף רק לצורך קבלת כספים עבורו, שלא ביושר.</w:t>
      </w:r>
    </w:p>
    <w:p w:rsidR="00970FD9" w:rsidRDefault="00970FD9" w:rsidP="00970FD9">
      <w:pPr>
        <w:pStyle w:val="ad"/>
        <w:rPr>
          <w:rFonts w:ascii="David" w:hAnsi="David" w:cs="David"/>
          <w:sz w:val="24"/>
          <w:szCs w:val="24"/>
        </w:rPr>
      </w:pPr>
    </w:p>
    <w:p w:rsidR="00970FD9" w:rsidRDefault="00970FD9" w:rsidP="00D717DB">
      <w:pPr>
        <w:pStyle w:val="ad"/>
        <w:numPr>
          <w:ilvl w:val="0"/>
          <w:numId w:val="1"/>
        </w:numPr>
        <w:spacing w:line="360" w:lineRule="auto"/>
        <w:ind w:left="368" w:hanging="426"/>
        <w:jc w:val="both"/>
        <w:rPr>
          <w:rFonts w:ascii="David" w:hAnsi="David" w:cs="David"/>
          <w:sz w:val="24"/>
          <w:szCs w:val="24"/>
          <w:rtl/>
        </w:rPr>
      </w:pPr>
      <w:r>
        <w:rPr>
          <w:rFonts w:ascii="David" w:hAnsi="David" w:cs="David"/>
          <w:sz w:val="24"/>
          <w:szCs w:val="24"/>
          <w:rtl/>
        </w:rPr>
        <w:t xml:space="preserve">לא יתכן שהתובע היה מסכים להרחקתו לצמיתות מבית המגורים, הרשום רק על שמו, ולא יכול להיות שיסכים לפירוק שיתוף בבית אשר רשום רק על שמו. הנתבעת אינה רשומה כבעלת זכויות בבית המגורים ועל כן אין לה זכות לדרוש סעד </w:t>
      </w:r>
      <w:r w:rsidR="00D717DB">
        <w:rPr>
          <w:rFonts w:ascii="David" w:hAnsi="David" w:cs="David" w:hint="cs"/>
          <w:sz w:val="24"/>
          <w:szCs w:val="24"/>
          <w:rtl/>
        </w:rPr>
        <w:t>ז</w:t>
      </w:r>
      <w:r>
        <w:rPr>
          <w:rFonts w:ascii="David" w:hAnsi="David" w:cs="David"/>
          <w:sz w:val="24"/>
          <w:szCs w:val="24"/>
          <w:rtl/>
        </w:rPr>
        <w:t>מני של פירוק שיתוף, עובדה שהנתבעת הסתירה במועד אישור ההסכמות, מבית המשפט, במכוון ובזדון</w:t>
      </w:r>
      <w:r w:rsidR="00D717DB">
        <w:rPr>
          <w:rFonts w:ascii="David" w:hAnsi="David" w:cs="David" w:hint="cs"/>
          <w:sz w:val="24"/>
          <w:szCs w:val="24"/>
          <w:rtl/>
        </w:rPr>
        <w:t>.</w:t>
      </w:r>
    </w:p>
    <w:p w:rsidR="00970FD9" w:rsidRDefault="00970FD9" w:rsidP="00970FD9">
      <w:pPr>
        <w:pStyle w:val="ad"/>
        <w:rPr>
          <w:rFonts w:ascii="David" w:hAnsi="David" w:cs="David"/>
          <w:sz w:val="24"/>
          <w:szCs w:val="24"/>
        </w:rPr>
      </w:pPr>
    </w:p>
    <w:p w:rsidR="00970FD9" w:rsidRDefault="00970FD9" w:rsidP="00970FD9">
      <w:pPr>
        <w:pStyle w:val="ad"/>
        <w:numPr>
          <w:ilvl w:val="0"/>
          <w:numId w:val="1"/>
        </w:numPr>
        <w:spacing w:line="360" w:lineRule="auto"/>
        <w:ind w:left="368" w:hanging="426"/>
        <w:jc w:val="both"/>
        <w:rPr>
          <w:rFonts w:ascii="David" w:hAnsi="David" w:cs="David"/>
          <w:sz w:val="24"/>
          <w:szCs w:val="24"/>
          <w:rtl/>
        </w:rPr>
      </w:pPr>
      <w:r>
        <w:rPr>
          <w:rFonts w:ascii="David" w:hAnsi="David" w:cs="David"/>
          <w:sz w:val="24"/>
          <w:szCs w:val="24"/>
          <w:rtl/>
        </w:rPr>
        <w:t xml:space="preserve">התובע הגיש בקשה לביטול הצו האוסר עליו לחזור לבית המגורים, בה טען שההסכמות לא ניתנו על ידו אלא על ידי עו"ד </w:t>
      </w:r>
      <w:r w:rsidR="00F37117">
        <w:rPr>
          <w:rFonts w:ascii="David" w:hAnsi="David" w:cs="David"/>
          <w:sz w:val="24"/>
          <w:szCs w:val="24"/>
          <w:rtl/>
        </w:rPr>
        <w:t>ב' ז'</w:t>
      </w:r>
      <w:r>
        <w:rPr>
          <w:rFonts w:ascii="David" w:hAnsi="David" w:cs="David"/>
          <w:sz w:val="24"/>
          <w:szCs w:val="24"/>
          <w:rtl/>
        </w:rPr>
        <w:t>.</w:t>
      </w:r>
    </w:p>
    <w:p w:rsidR="00970FD9" w:rsidRDefault="00970FD9" w:rsidP="00970FD9">
      <w:pPr>
        <w:pStyle w:val="ad"/>
        <w:rPr>
          <w:rFonts w:ascii="David" w:hAnsi="David" w:cs="David"/>
          <w:sz w:val="24"/>
          <w:szCs w:val="24"/>
        </w:rPr>
      </w:pPr>
    </w:p>
    <w:p w:rsidR="00970FD9" w:rsidRDefault="00970FD9" w:rsidP="00970FD9">
      <w:pPr>
        <w:pStyle w:val="ad"/>
        <w:numPr>
          <w:ilvl w:val="0"/>
          <w:numId w:val="1"/>
        </w:numPr>
        <w:spacing w:line="360" w:lineRule="auto"/>
        <w:ind w:left="368" w:hanging="426"/>
        <w:jc w:val="both"/>
        <w:rPr>
          <w:rFonts w:ascii="David" w:hAnsi="David" w:cs="David"/>
          <w:sz w:val="24"/>
          <w:szCs w:val="24"/>
          <w:rtl/>
        </w:rPr>
      </w:pPr>
      <w:r>
        <w:rPr>
          <w:rFonts w:ascii="David" w:hAnsi="David" w:cs="David"/>
          <w:sz w:val="24"/>
          <w:szCs w:val="24"/>
          <w:rtl/>
        </w:rPr>
        <w:t>כל טענות הנתבעת בהליך צו ההגנה שקריות, מאחר והתובע לא נהג באלימות כלפיה, ותלונותיה למשטרה היו תלונות שווא.</w:t>
      </w:r>
    </w:p>
    <w:p w:rsidR="00970FD9" w:rsidRDefault="00970FD9" w:rsidP="00970FD9">
      <w:pPr>
        <w:pStyle w:val="ad"/>
        <w:rPr>
          <w:rFonts w:ascii="David" w:hAnsi="David" w:cs="David"/>
          <w:sz w:val="24"/>
          <w:szCs w:val="24"/>
        </w:rPr>
      </w:pPr>
    </w:p>
    <w:p w:rsidR="00970FD9" w:rsidRDefault="00970FD9" w:rsidP="00B5042C">
      <w:pPr>
        <w:pStyle w:val="ad"/>
        <w:numPr>
          <w:ilvl w:val="0"/>
          <w:numId w:val="1"/>
        </w:numPr>
        <w:spacing w:line="360" w:lineRule="auto"/>
        <w:ind w:left="368" w:hanging="426"/>
        <w:jc w:val="both"/>
        <w:rPr>
          <w:rFonts w:ascii="David" w:hAnsi="David" w:cs="David"/>
          <w:sz w:val="24"/>
          <w:szCs w:val="24"/>
          <w:rtl/>
        </w:rPr>
      </w:pPr>
      <w:r>
        <w:rPr>
          <w:rFonts w:ascii="David" w:hAnsi="David" w:cs="David"/>
          <w:sz w:val="24"/>
          <w:szCs w:val="24"/>
          <w:rtl/>
        </w:rPr>
        <w:t xml:space="preserve">בסיכומיו, העלה התובע טענות חדשות, שלא </w:t>
      </w:r>
      <w:r w:rsidR="00B5042C">
        <w:rPr>
          <w:rFonts w:ascii="David" w:hAnsi="David" w:cs="David" w:hint="cs"/>
          <w:sz w:val="24"/>
          <w:szCs w:val="24"/>
          <w:rtl/>
        </w:rPr>
        <w:t>נטענו בכתבי הטענות</w:t>
      </w:r>
      <w:r>
        <w:rPr>
          <w:rFonts w:ascii="David" w:hAnsi="David" w:cs="David"/>
          <w:sz w:val="24"/>
          <w:szCs w:val="24"/>
          <w:rtl/>
        </w:rPr>
        <w:t>, וככאלה הן מהו</w:t>
      </w:r>
      <w:r w:rsidR="008B0A49">
        <w:rPr>
          <w:rFonts w:ascii="David" w:hAnsi="David" w:cs="David"/>
          <w:sz w:val="24"/>
          <w:szCs w:val="24"/>
          <w:rtl/>
        </w:rPr>
        <w:t>ות הרחבת חזית. חרף זאת, אלה יצו</w:t>
      </w:r>
      <w:r>
        <w:rPr>
          <w:rFonts w:ascii="David" w:hAnsi="David" w:cs="David"/>
          <w:sz w:val="24"/>
          <w:szCs w:val="24"/>
          <w:rtl/>
        </w:rPr>
        <w:t>ינו כאן, ואף תינתן להן התייחסות בפרק ההכרעה.</w:t>
      </w:r>
    </w:p>
    <w:p w:rsidR="00970FD9" w:rsidRDefault="00970FD9" w:rsidP="00970FD9">
      <w:pPr>
        <w:pStyle w:val="ad"/>
        <w:rPr>
          <w:rFonts w:ascii="David" w:hAnsi="David" w:cs="David"/>
          <w:sz w:val="24"/>
          <w:szCs w:val="24"/>
        </w:rPr>
      </w:pPr>
    </w:p>
    <w:p w:rsidR="00970FD9" w:rsidRDefault="00970FD9" w:rsidP="00D41A59">
      <w:pPr>
        <w:pStyle w:val="ad"/>
        <w:numPr>
          <w:ilvl w:val="0"/>
          <w:numId w:val="1"/>
        </w:numPr>
        <w:spacing w:line="360" w:lineRule="auto"/>
        <w:ind w:left="368" w:hanging="426"/>
        <w:jc w:val="both"/>
        <w:rPr>
          <w:rFonts w:ascii="David" w:hAnsi="David" w:cs="David"/>
          <w:sz w:val="24"/>
          <w:szCs w:val="24"/>
          <w:rtl/>
        </w:rPr>
      </w:pPr>
      <w:r>
        <w:rPr>
          <w:rFonts w:ascii="David" w:hAnsi="David" w:cs="David"/>
          <w:sz w:val="24"/>
          <w:szCs w:val="24"/>
          <w:rtl/>
        </w:rPr>
        <w:t>טענתו העיקרית של התובע בסיכומיו הינה טענה כנגד התנהלות בית המשפט, כאשר נתן תוקף של פסק דין להסכמות הצדדים. לטענת התובע מדובר בהסכם ממון וכמוהו מחייב את בית המשפט בבדיקה הבנת הצדדים את משמעות ההסכם, מה שבמקרה דנן לא נעשה, וכלשונו (סעיף 5 לסיכומים): "</w:t>
      </w:r>
      <w:r w:rsidRPr="008B0A49">
        <w:rPr>
          <w:rFonts w:ascii="David" w:hAnsi="David" w:cs="David"/>
          <w:b/>
          <w:bCs/>
          <w:sz w:val="24"/>
          <w:szCs w:val="24"/>
          <w:rtl/>
        </w:rPr>
        <w:t>במישור יחסי הממון והתקנות, ביהמ"ש לא בירר עם התובע, האם מבין את ההסכמו</w:t>
      </w:r>
      <w:r w:rsidR="003E07D3">
        <w:rPr>
          <w:rFonts w:ascii="David" w:hAnsi="David" w:cs="David"/>
          <w:b/>
          <w:bCs/>
          <w:sz w:val="24"/>
          <w:szCs w:val="24"/>
          <w:rtl/>
        </w:rPr>
        <w:t>ת שהוקראו לפרוטוקול ע"י עו"ד ג</w:t>
      </w:r>
      <w:r w:rsidR="003E07D3">
        <w:rPr>
          <w:rFonts w:ascii="David" w:hAnsi="David" w:cs="David" w:hint="cs"/>
          <w:b/>
          <w:bCs/>
          <w:sz w:val="24"/>
          <w:szCs w:val="24"/>
          <w:rtl/>
        </w:rPr>
        <w:t>'</w:t>
      </w:r>
      <w:r w:rsidRPr="008B0A49">
        <w:rPr>
          <w:rFonts w:ascii="David" w:hAnsi="David" w:cs="David"/>
          <w:b/>
          <w:bCs/>
          <w:sz w:val="24"/>
          <w:szCs w:val="24"/>
          <w:rtl/>
        </w:rPr>
        <w:t xml:space="preserve"> </w:t>
      </w:r>
      <w:r w:rsidR="00F37117">
        <w:rPr>
          <w:rFonts w:ascii="David" w:hAnsi="David" w:cs="David"/>
          <w:b/>
          <w:bCs/>
          <w:sz w:val="24"/>
          <w:szCs w:val="24"/>
          <w:rtl/>
        </w:rPr>
        <w:t>ב' ז'</w:t>
      </w:r>
      <w:r w:rsidRPr="008B0A49">
        <w:rPr>
          <w:rFonts w:ascii="David" w:hAnsi="David" w:cs="David"/>
          <w:b/>
          <w:bCs/>
          <w:sz w:val="24"/>
          <w:szCs w:val="24"/>
          <w:rtl/>
        </w:rPr>
        <w:t>, את משמעותן ותוצאותיהן וכי הן ניתנות מרצון חופשי, ו /או למצער האם יש רכוש אחר במחלוקת</w:t>
      </w:r>
      <w:r>
        <w:rPr>
          <w:rtl/>
        </w:rPr>
        <w:t>".</w:t>
      </w:r>
      <w:r>
        <w:rPr>
          <w:rFonts w:ascii="David" w:hAnsi="David" w:cs="David"/>
          <w:sz w:val="24"/>
          <w:szCs w:val="24"/>
          <w:rtl/>
        </w:rPr>
        <w:t xml:space="preserve"> יצוין כי ב</w:t>
      </w:r>
      <w:r w:rsidR="00D41A59">
        <w:rPr>
          <w:rFonts w:ascii="David" w:hAnsi="David" w:cs="David" w:hint="cs"/>
          <w:sz w:val="24"/>
          <w:szCs w:val="24"/>
          <w:rtl/>
        </w:rPr>
        <w:t>כתב ה</w:t>
      </w:r>
      <w:r>
        <w:rPr>
          <w:rFonts w:ascii="David" w:hAnsi="David" w:cs="David"/>
          <w:sz w:val="24"/>
          <w:szCs w:val="24"/>
          <w:rtl/>
        </w:rPr>
        <w:t>תביעה טען התובע במשפט אחד, באותו הענין כביכול, כך: "</w:t>
      </w:r>
      <w:r w:rsidRPr="00F15EC8">
        <w:rPr>
          <w:rFonts w:ascii="David" w:hAnsi="David" w:cs="David"/>
          <w:b/>
          <w:bCs/>
          <w:sz w:val="24"/>
          <w:szCs w:val="24"/>
          <w:rtl/>
        </w:rPr>
        <w:t>התובע יטען שביהמ"ש הנכבד אשר אישר את אותן הסכמות בין הצדדים, לא ידע שההסכמות לא ניתנו על דעתו של התובע, ולכן אישר אותן בפסק דין</w:t>
      </w:r>
      <w:r>
        <w:rPr>
          <w:rFonts w:ascii="David" w:hAnsi="David" w:cs="David"/>
          <w:sz w:val="24"/>
          <w:szCs w:val="24"/>
          <w:rtl/>
        </w:rPr>
        <w:t>" (סעיף 57 לכתב התביעה</w:t>
      </w:r>
      <w:r w:rsidR="00F15EC8">
        <w:rPr>
          <w:rFonts w:ascii="David" w:hAnsi="David" w:cs="David" w:hint="cs"/>
          <w:sz w:val="24"/>
          <w:szCs w:val="24"/>
          <w:rtl/>
        </w:rPr>
        <w:t>)</w:t>
      </w:r>
      <w:r>
        <w:rPr>
          <w:rFonts w:ascii="David" w:hAnsi="David" w:cs="David"/>
          <w:sz w:val="24"/>
          <w:szCs w:val="24"/>
          <w:rtl/>
        </w:rPr>
        <w:t>.</w:t>
      </w:r>
    </w:p>
    <w:p w:rsidR="00970FD9" w:rsidRDefault="00970FD9" w:rsidP="00970FD9">
      <w:pPr>
        <w:pStyle w:val="ad"/>
        <w:rPr>
          <w:rFonts w:ascii="David" w:hAnsi="David" w:cs="David"/>
          <w:sz w:val="24"/>
          <w:szCs w:val="24"/>
        </w:rPr>
      </w:pPr>
    </w:p>
    <w:p w:rsidR="00970FD9" w:rsidRDefault="00970FD9" w:rsidP="00970FD9">
      <w:pPr>
        <w:pStyle w:val="ad"/>
        <w:numPr>
          <w:ilvl w:val="0"/>
          <w:numId w:val="1"/>
        </w:numPr>
        <w:spacing w:line="360" w:lineRule="auto"/>
        <w:ind w:left="368" w:hanging="426"/>
        <w:jc w:val="both"/>
        <w:rPr>
          <w:rFonts w:ascii="David" w:hAnsi="David" w:cs="David"/>
          <w:sz w:val="24"/>
          <w:szCs w:val="24"/>
          <w:rtl/>
        </w:rPr>
      </w:pPr>
      <w:r>
        <w:rPr>
          <w:rFonts w:ascii="David" w:hAnsi="David" w:cs="David"/>
          <w:sz w:val="24"/>
          <w:szCs w:val="24"/>
          <w:rtl/>
        </w:rPr>
        <w:t>טענתו השנייה של התובע הינה בתחום החוזי, לשיטתו לא התקיים קיבול והצעה, כפי שנדרש בחוק החוזים ולא הי</w:t>
      </w:r>
      <w:r w:rsidR="00F15EC8">
        <w:rPr>
          <w:rFonts w:ascii="David" w:hAnsi="David" w:cs="David" w:hint="cs"/>
          <w:sz w:val="24"/>
          <w:szCs w:val="24"/>
          <w:rtl/>
        </w:rPr>
        <w:t>י</w:t>
      </w:r>
      <w:r>
        <w:rPr>
          <w:rFonts w:ascii="David" w:hAnsi="David" w:cs="David"/>
          <w:sz w:val="24"/>
          <w:szCs w:val="24"/>
          <w:rtl/>
        </w:rPr>
        <w:t xml:space="preserve">תה גמירות דעת של התובע – כאמור טענה שעלתה לראשונה בסיכומים. </w:t>
      </w:r>
    </w:p>
    <w:p w:rsidR="00970FD9" w:rsidRDefault="00970FD9" w:rsidP="00970FD9">
      <w:pPr>
        <w:jc w:val="both"/>
        <w:rPr>
          <w:rFonts w:ascii="David" w:hAnsi="David"/>
          <w:b/>
          <w:bCs/>
          <w:u w:val="single"/>
          <w:rtl/>
        </w:rPr>
      </w:pPr>
      <w:r>
        <w:rPr>
          <w:rFonts w:ascii="David" w:hAnsi="David"/>
          <w:b/>
          <w:bCs/>
          <w:u w:val="single"/>
          <w:rtl/>
        </w:rPr>
        <w:t>תמצית טענות הנתבעת:</w:t>
      </w:r>
    </w:p>
    <w:p w:rsidR="00970FD9" w:rsidRDefault="00970FD9" w:rsidP="00970FD9">
      <w:pPr>
        <w:pStyle w:val="ad"/>
        <w:spacing w:line="240" w:lineRule="auto"/>
        <w:ind w:left="368"/>
        <w:jc w:val="both"/>
        <w:rPr>
          <w:rFonts w:ascii="David" w:hAnsi="David" w:cs="David"/>
          <w:sz w:val="24"/>
          <w:szCs w:val="24"/>
          <w:rtl/>
        </w:rPr>
      </w:pPr>
    </w:p>
    <w:p w:rsidR="00970FD9" w:rsidRDefault="00970FD9" w:rsidP="00970FD9">
      <w:pPr>
        <w:pStyle w:val="ad"/>
        <w:numPr>
          <w:ilvl w:val="0"/>
          <w:numId w:val="1"/>
        </w:numPr>
        <w:spacing w:line="360" w:lineRule="auto"/>
        <w:ind w:left="368" w:hanging="426"/>
        <w:jc w:val="both"/>
        <w:rPr>
          <w:rFonts w:ascii="David" w:hAnsi="David" w:cs="David"/>
          <w:sz w:val="24"/>
          <w:szCs w:val="24"/>
        </w:rPr>
      </w:pPr>
      <w:r>
        <w:rPr>
          <w:rFonts w:ascii="David" w:hAnsi="David" w:cs="David"/>
          <w:sz w:val="24"/>
          <w:szCs w:val="24"/>
          <w:rtl/>
        </w:rPr>
        <w:t>התביעה אינה מבוססת על עילות החוק לביטול פסק דין.</w:t>
      </w:r>
    </w:p>
    <w:p w:rsidR="00970FD9" w:rsidRDefault="00970FD9" w:rsidP="00970FD9">
      <w:pPr>
        <w:pStyle w:val="ad"/>
        <w:spacing w:line="240" w:lineRule="auto"/>
        <w:ind w:left="368"/>
        <w:jc w:val="both"/>
        <w:rPr>
          <w:rFonts w:ascii="David" w:hAnsi="David" w:cs="David"/>
          <w:sz w:val="24"/>
          <w:szCs w:val="24"/>
        </w:rPr>
      </w:pPr>
    </w:p>
    <w:p w:rsidR="00970FD9" w:rsidRDefault="00970FD9" w:rsidP="00970FD9">
      <w:pPr>
        <w:pStyle w:val="ad"/>
        <w:numPr>
          <w:ilvl w:val="0"/>
          <w:numId w:val="1"/>
        </w:numPr>
        <w:spacing w:line="360" w:lineRule="auto"/>
        <w:ind w:left="368" w:hanging="426"/>
        <w:jc w:val="both"/>
        <w:rPr>
          <w:rFonts w:ascii="David" w:hAnsi="David" w:cs="David"/>
          <w:sz w:val="24"/>
          <w:szCs w:val="24"/>
        </w:rPr>
      </w:pPr>
      <w:r>
        <w:rPr>
          <w:rFonts w:ascii="David" w:hAnsi="David" w:cs="David"/>
          <w:sz w:val="24"/>
          <w:szCs w:val="24"/>
          <w:rtl/>
        </w:rPr>
        <w:t xml:space="preserve">התובע אינו טוען לטעות או הטעייה כי אם להיעדר הרשאה לב"כ עו"ד </w:t>
      </w:r>
      <w:r w:rsidR="00F37117">
        <w:rPr>
          <w:rFonts w:ascii="David" w:hAnsi="David" w:cs="David"/>
          <w:sz w:val="24"/>
          <w:szCs w:val="24"/>
          <w:rtl/>
        </w:rPr>
        <w:t>ב' ז'</w:t>
      </w:r>
      <w:r>
        <w:rPr>
          <w:rFonts w:ascii="David" w:hAnsi="David" w:cs="David"/>
          <w:sz w:val="24"/>
          <w:szCs w:val="24"/>
          <w:rtl/>
        </w:rPr>
        <w:t xml:space="preserve"> לפעול בשמו.</w:t>
      </w:r>
    </w:p>
    <w:p w:rsidR="00970FD9" w:rsidRDefault="00970FD9" w:rsidP="00970FD9">
      <w:pPr>
        <w:pStyle w:val="ad"/>
        <w:rPr>
          <w:rFonts w:ascii="David" w:hAnsi="David" w:cs="David"/>
          <w:sz w:val="24"/>
          <w:szCs w:val="24"/>
        </w:rPr>
      </w:pPr>
    </w:p>
    <w:p w:rsidR="00970FD9" w:rsidRDefault="00970FD9" w:rsidP="00970FD9">
      <w:pPr>
        <w:pStyle w:val="ad"/>
        <w:numPr>
          <w:ilvl w:val="0"/>
          <w:numId w:val="1"/>
        </w:numPr>
        <w:spacing w:line="360" w:lineRule="auto"/>
        <w:ind w:left="368" w:hanging="426"/>
        <w:jc w:val="both"/>
        <w:rPr>
          <w:rFonts w:ascii="David" w:hAnsi="David" w:cs="David"/>
          <w:sz w:val="24"/>
          <w:szCs w:val="24"/>
          <w:rtl/>
        </w:rPr>
      </w:pPr>
      <w:r>
        <w:rPr>
          <w:rFonts w:ascii="David" w:hAnsi="David" w:cs="David"/>
          <w:sz w:val="24"/>
          <w:szCs w:val="24"/>
          <w:rtl/>
        </w:rPr>
        <w:t xml:space="preserve">גם טענות להיעדר הרשאה מוכחשות שהרי פעולת עו"ד </w:t>
      </w:r>
      <w:r w:rsidR="00F37117">
        <w:rPr>
          <w:rFonts w:ascii="David" w:hAnsi="David" w:cs="David"/>
          <w:sz w:val="24"/>
          <w:szCs w:val="24"/>
          <w:rtl/>
        </w:rPr>
        <w:t>ב' ז'</w:t>
      </w:r>
      <w:r>
        <w:rPr>
          <w:rFonts w:ascii="David" w:hAnsi="David" w:cs="David"/>
          <w:sz w:val="24"/>
          <w:szCs w:val="24"/>
          <w:rtl/>
        </w:rPr>
        <w:t xml:space="preserve"> נעשתה בנוכחות התובע ובפני בית המשפט.</w:t>
      </w:r>
    </w:p>
    <w:p w:rsidR="00970FD9" w:rsidRDefault="00970FD9" w:rsidP="00970FD9">
      <w:pPr>
        <w:pStyle w:val="ad"/>
        <w:spacing w:line="240" w:lineRule="auto"/>
        <w:ind w:left="368"/>
        <w:jc w:val="both"/>
        <w:rPr>
          <w:rFonts w:ascii="David" w:hAnsi="David" w:cs="David"/>
          <w:sz w:val="24"/>
          <w:szCs w:val="24"/>
        </w:rPr>
      </w:pPr>
    </w:p>
    <w:p w:rsidR="00970FD9" w:rsidRDefault="00970FD9" w:rsidP="00970FD9">
      <w:pPr>
        <w:pStyle w:val="ad"/>
        <w:numPr>
          <w:ilvl w:val="0"/>
          <w:numId w:val="1"/>
        </w:numPr>
        <w:spacing w:line="360" w:lineRule="auto"/>
        <w:ind w:left="368" w:hanging="426"/>
        <w:jc w:val="both"/>
        <w:rPr>
          <w:rFonts w:ascii="David" w:hAnsi="David" w:cs="David"/>
          <w:sz w:val="24"/>
          <w:szCs w:val="24"/>
        </w:rPr>
      </w:pPr>
      <w:r>
        <w:rPr>
          <w:rFonts w:ascii="David" w:hAnsi="David" w:cs="David"/>
          <w:sz w:val="24"/>
          <w:szCs w:val="24"/>
          <w:rtl/>
        </w:rPr>
        <w:lastRenderedPageBreak/>
        <w:t xml:space="preserve">התנהגותו של התובע, אשר לא ביטל את ייפוי הכח של עו"ד </w:t>
      </w:r>
      <w:r w:rsidR="00F37117">
        <w:rPr>
          <w:rFonts w:ascii="David" w:hAnsi="David" w:cs="David"/>
          <w:sz w:val="24"/>
          <w:szCs w:val="24"/>
          <w:rtl/>
        </w:rPr>
        <w:t>ב' ז'</w:t>
      </w:r>
      <w:r>
        <w:rPr>
          <w:rFonts w:ascii="David" w:hAnsi="David" w:cs="David"/>
          <w:sz w:val="24"/>
          <w:szCs w:val="24"/>
          <w:rtl/>
        </w:rPr>
        <w:t xml:space="preserve"> ולא  פעל לביטול ההסכם מיד לאחר מתן פסק הדין, מעידות כי נתן את הסכמתו לפעולות ב"כ.</w:t>
      </w:r>
    </w:p>
    <w:p w:rsidR="00970FD9" w:rsidRDefault="00970FD9" w:rsidP="00970FD9">
      <w:pPr>
        <w:pStyle w:val="ad"/>
        <w:spacing w:line="240" w:lineRule="auto"/>
        <w:ind w:left="368"/>
        <w:jc w:val="both"/>
        <w:rPr>
          <w:rFonts w:ascii="David" w:hAnsi="David" w:cs="David"/>
          <w:sz w:val="24"/>
          <w:szCs w:val="24"/>
        </w:rPr>
      </w:pPr>
    </w:p>
    <w:p w:rsidR="00970FD9" w:rsidRDefault="00970FD9" w:rsidP="00970FD9">
      <w:pPr>
        <w:pStyle w:val="ad"/>
        <w:numPr>
          <w:ilvl w:val="0"/>
          <w:numId w:val="1"/>
        </w:numPr>
        <w:spacing w:line="360" w:lineRule="auto"/>
        <w:ind w:left="368" w:hanging="426"/>
        <w:jc w:val="both"/>
        <w:rPr>
          <w:rFonts w:ascii="David" w:hAnsi="David" w:cs="David"/>
          <w:sz w:val="24"/>
          <w:szCs w:val="24"/>
        </w:rPr>
      </w:pPr>
      <w:r>
        <w:rPr>
          <w:rFonts w:ascii="David" w:hAnsi="David" w:cs="David"/>
          <w:sz w:val="24"/>
          <w:szCs w:val="24"/>
          <w:rtl/>
        </w:rPr>
        <w:t xml:space="preserve">התובע אף בירר עם עו"ד </w:t>
      </w:r>
      <w:r w:rsidR="00F37117">
        <w:rPr>
          <w:rFonts w:ascii="David" w:hAnsi="David" w:cs="David"/>
          <w:sz w:val="24"/>
          <w:szCs w:val="24"/>
          <w:rtl/>
        </w:rPr>
        <w:t>ב' ז'</w:t>
      </w:r>
      <w:r>
        <w:rPr>
          <w:rFonts w:ascii="David" w:hAnsi="David" w:cs="David"/>
          <w:sz w:val="24"/>
          <w:szCs w:val="24"/>
          <w:rtl/>
        </w:rPr>
        <w:t xml:space="preserve"> בקשר להגשת </w:t>
      </w:r>
      <w:r w:rsidR="00F15EC8">
        <w:rPr>
          <w:rFonts w:ascii="David" w:hAnsi="David" w:cs="David" w:hint="cs"/>
          <w:sz w:val="24"/>
          <w:szCs w:val="24"/>
          <w:rtl/>
        </w:rPr>
        <w:t>ה</w:t>
      </w:r>
      <w:r>
        <w:rPr>
          <w:rFonts w:ascii="David" w:hAnsi="David" w:cs="David"/>
          <w:sz w:val="24"/>
          <w:szCs w:val="24"/>
          <w:rtl/>
        </w:rPr>
        <w:t>ערעור וזה מלמד כי הבין וקלט את משמעות פסק הדין.</w:t>
      </w:r>
    </w:p>
    <w:p w:rsidR="00970FD9" w:rsidRDefault="00970FD9" w:rsidP="00970FD9">
      <w:pPr>
        <w:pStyle w:val="ad"/>
        <w:spacing w:line="240" w:lineRule="auto"/>
        <w:ind w:left="368"/>
        <w:jc w:val="both"/>
        <w:rPr>
          <w:rFonts w:ascii="David" w:hAnsi="David" w:cs="David"/>
          <w:sz w:val="24"/>
          <w:szCs w:val="24"/>
        </w:rPr>
      </w:pPr>
    </w:p>
    <w:p w:rsidR="00970FD9" w:rsidRDefault="00970FD9" w:rsidP="00970FD9">
      <w:pPr>
        <w:pStyle w:val="ad"/>
        <w:numPr>
          <w:ilvl w:val="0"/>
          <w:numId w:val="1"/>
        </w:numPr>
        <w:spacing w:line="360" w:lineRule="auto"/>
        <w:ind w:left="368" w:hanging="426"/>
        <w:jc w:val="both"/>
        <w:rPr>
          <w:rFonts w:ascii="David" w:hAnsi="David" w:cs="David"/>
          <w:sz w:val="24"/>
          <w:szCs w:val="24"/>
        </w:rPr>
      </w:pPr>
      <w:r>
        <w:rPr>
          <w:rFonts w:ascii="David" w:hAnsi="David" w:cs="David"/>
          <w:sz w:val="24"/>
          <w:szCs w:val="24"/>
          <w:rtl/>
        </w:rPr>
        <w:t>התובע פעל על פי פסק הדין, וגם אם לזמן קצר, אין הוא יכול לבטלו.</w:t>
      </w:r>
    </w:p>
    <w:p w:rsidR="00970FD9" w:rsidRDefault="00970FD9" w:rsidP="00970FD9">
      <w:pPr>
        <w:pStyle w:val="ad"/>
        <w:rPr>
          <w:rFonts w:ascii="David" w:hAnsi="David" w:cs="David"/>
          <w:sz w:val="24"/>
          <w:szCs w:val="24"/>
        </w:rPr>
      </w:pPr>
    </w:p>
    <w:p w:rsidR="00970FD9" w:rsidRDefault="00970FD9" w:rsidP="00970FD9">
      <w:pPr>
        <w:pStyle w:val="ad"/>
        <w:numPr>
          <w:ilvl w:val="0"/>
          <w:numId w:val="1"/>
        </w:numPr>
        <w:spacing w:line="360" w:lineRule="auto"/>
        <w:ind w:left="368" w:hanging="426"/>
        <w:jc w:val="both"/>
        <w:rPr>
          <w:rFonts w:ascii="David" w:hAnsi="David" w:cs="David"/>
          <w:sz w:val="24"/>
          <w:szCs w:val="24"/>
          <w:rtl/>
        </w:rPr>
      </w:pPr>
      <w:r>
        <w:rPr>
          <w:rFonts w:ascii="David" w:hAnsi="David" w:cs="David"/>
          <w:sz w:val="24"/>
          <w:szCs w:val="24"/>
          <w:rtl/>
        </w:rPr>
        <w:t>התנהגות התובע כמוה כאישור בדיעבד, אשר אינו חייב להיעשות במפורש ויכול להיעשות גם מכללא.</w:t>
      </w:r>
    </w:p>
    <w:p w:rsidR="00970FD9" w:rsidRDefault="00970FD9" w:rsidP="00970FD9">
      <w:pPr>
        <w:pStyle w:val="ad"/>
        <w:spacing w:line="240" w:lineRule="auto"/>
        <w:ind w:left="368"/>
        <w:jc w:val="both"/>
        <w:rPr>
          <w:rFonts w:ascii="David" w:hAnsi="David" w:cs="David"/>
          <w:sz w:val="24"/>
          <w:szCs w:val="24"/>
        </w:rPr>
      </w:pPr>
    </w:p>
    <w:p w:rsidR="00970FD9" w:rsidRDefault="00970FD9" w:rsidP="00970FD9">
      <w:pPr>
        <w:pStyle w:val="ad"/>
        <w:numPr>
          <w:ilvl w:val="0"/>
          <w:numId w:val="1"/>
        </w:numPr>
        <w:spacing w:line="360" w:lineRule="auto"/>
        <w:ind w:left="368" w:hanging="426"/>
        <w:jc w:val="both"/>
        <w:rPr>
          <w:rFonts w:ascii="David" w:hAnsi="David" w:cs="David"/>
          <w:sz w:val="24"/>
          <w:szCs w:val="24"/>
        </w:rPr>
      </w:pPr>
      <w:r>
        <w:rPr>
          <w:rFonts w:ascii="David" w:hAnsi="David" w:cs="David"/>
          <w:sz w:val="24"/>
          <w:szCs w:val="24"/>
          <w:rtl/>
        </w:rPr>
        <w:t xml:space="preserve">את טענות התובע כלפי עו"ד </w:t>
      </w:r>
      <w:r w:rsidR="00F37117">
        <w:rPr>
          <w:rFonts w:ascii="David" w:hAnsi="David" w:cs="David"/>
          <w:sz w:val="24"/>
          <w:szCs w:val="24"/>
          <w:rtl/>
        </w:rPr>
        <w:t>ב' ז'</w:t>
      </w:r>
      <w:r>
        <w:rPr>
          <w:rFonts w:ascii="David" w:hAnsi="David" w:cs="David"/>
          <w:sz w:val="24"/>
          <w:szCs w:val="24"/>
          <w:rtl/>
        </w:rPr>
        <w:t xml:space="preserve"> עליו להפנות אליו, ואין הוא צד להליך זה.</w:t>
      </w:r>
    </w:p>
    <w:p w:rsidR="00970FD9" w:rsidRDefault="00970FD9" w:rsidP="00970FD9">
      <w:pPr>
        <w:pStyle w:val="ad"/>
        <w:spacing w:line="240" w:lineRule="auto"/>
        <w:ind w:left="368"/>
        <w:jc w:val="both"/>
        <w:rPr>
          <w:rFonts w:ascii="David" w:hAnsi="David" w:cs="David"/>
          <w:sz w:val="24"/>
          <w:szCs w:val="24"/>
        </w:rPr>
      </w:pPr>
    </w:p>
    <w:p w:rsidR="00970FD9" w:rsidRDefault="00970FD9" w:rsidP="00970FD9">
      <w:pPr>
        <w:pStyle w:val="ad"/>
        <w:numPr>
          <w:ilvl w:val="0"/>
          <w:numId w:val="1"/>
        </w:numPr>
        <w:spacing w:line="360" w:lineRule="auto"/>
        <w:ind w:left="368" w:hanging="426"/>
        <w:jc w:val="both"/>
        <w:rPr>
          <w:rFonts w:ascii="David" w:hAnsi="David" w:cs="David"/>
          <w:sz w:val="24"/>
          <w:szCs w:val="24"/>
        </w:rPr>
      </w:pPr>
      <w:r>
        <w:rPr>
          <w:rFonts w:ascii="David" w:hAnsi="David" w:cs="David"/>
          <w:sz w:val="24"/>
          <w:szCs w:val="24"/>
          <w:rtl/>
        </w:rPr>
        <w:t>משפעל התובע על פי פסק הדין שניתן בהסכמה, לאחר שהשלים עימו, ולו לזמן קצר, אין בידו לבטלו בשל חריגת שלוחו מהרשאה.</w:t>
      </w:r>
    </w:p>
    <w:p w:rsidR="00970FD9" w:rsidRDefault="00970FD9" w:rsidP="00970FD9">
      <w:pPr>
        <w:pStyle w:val="ad"/>
        <w:rPr>
          <w:rFonts w:ascii="David" w:hAnsi="David" w:cs="David"/>
          <w:sz w:val="24"/>
          <w:szCs w:val="24"/>
        </w:rPr>
      </w:pPr>
    </w:p>
    <w:p w:rsidR="00970FD9" w:rsidRDefault="00970FD9" w:rsidP="00970FD9">
      <w:pPr>
        <w:pStyle w:val="ad"/>
        <w:numPr>
          <w:ilvl w:val="0"/>
          <w:numId w:val="1"/>
        </w:numPr>
        <w:spacing w:line="360" w:lineRule="auto"/>
        <w:ind w:left="368" w:hanging="426"/>
        <w:jc w:val="both"/>
        <w:rPr>
          <w:rFonts w:ascii="David" w:hAnsi="David" w:cs="David"/>
          <w:sz w:val="24"/>
          <w:szCs w:val="24"/>
          <w:rtl/>
        </w:rPr>
      </w:pPr>
      <w:r>
        <w:rPr>
          <w:rFonts w:ascii="David" w:hAnsi="David" w:cs="David"/>
          <w:sz w:val="24"/>
          <w:szCs w:val="24"/>
          <w:rtl/>
        </w:rPr>
        <w:t>לענין רישום בעלות בית המגורים טוענת הנתבעת כי הרישום נעשה על שם התובע בלבד, אולם בהסכם ההלוואה וברישום המשכון, כמו גם ברישומי העירייה רשומה היא כשותפה מלאה.</w:t>
      </w:r>
    </w:p>
    <w:p w:rsidR="00970FD9" w:rsidRDefault="00970FD9" w:rsidP="00970FD9">
      <w:pPr>
        <w:pStyle w:val="ad"/>
        <w:rPr>
          <w:rFonts w:ascii="David" w:hAnsi="David" w:cs="David"/>
          <w:sz w:val="24"/>
          <w:szCs w:val="24"/>
        </w:rPr>
      </w:pPr>
    </w:p>
    <w:p w:rsidR="00970FD9" w:rsidRDefault="00970FD9" w:rsidP="00970FD9">
      <w:pPr>
        <w:pStyle w:val="ad"/>
        <w:numPr>
          <w:ilvl w:val="0"/>
          <w:numId w:val="1"/>
        </w:numPr>
        <w:spacing w:line="360" w:lineRule="auto"/>
        <w:ind w:left="368" w:hanging="426"/>
        <w:jc w:val="both"/>
        <w:rPr>
          <w:rFonts w:ascii="David" w:hAnsi="David" w:cs="David"/>
          <w:sz w:val="24"/>
          <w:szCs w:val="24"/>
          <w:rtl/>
        </w:rPr>
      </w:pPr>
      <w:r>
        <w:rPr>
          <w:rFonts w:ascii="David" w:hAnsi="David" w:cs="David"/>
          <w:sz w:val="24"/>
          <w:szCs w:val="24"/>
          <w:rtl/>
        </w:rPr>
        <w:t>בית המשפט, בניגוד לטענות התובע, וידא את הבנת הצדדים להסכמות שניתנו טרם מתן פסק הדין.</w:t>
      </w:r>
    </w:p>
    <w:p w:rsidR="00970FD9" w:rsidRDefault="00970FD9" w:rsidP="00970FD9">
      <w:pPr>
        <w:pStyle w:val="ad"/>
        <w:rPr>
          <w:rFonts w:ascii="David" w:hAnsi="David" w:cs="David"/>
          <w:sz w:val="24"/>
          <w:szCs w:val="24"/>
        </w:rPr>
      </w:pPr>
    </w:p>
    <w:p w:rsidR="00970FD9" w:rsidRDefault="00970FD9" w:rsidP="00970FD9">
      <w:pPr>
        <w:pStyle w:val="ad"/>
        <w:numPr>
          <w:ilvl w:val="0"/>
          <w:numId w:val="1"/>
        </w:numPr>
        <w:spacing w:line="360" w:lineRule="auto"/>
        <w:ind w:left="368" w:hanging="426"/>
        <w:jc w:val="both"/>
        <w:rPr>
          <w:rFonts w:ascii="David" w:hAnsi="David" w:cs="David"/>
          <w:sz w:val="24"/>
          <w:szCs w:val="24"/>
          <w:rtl/>
        </w:rPr>
      </w:pPr>
      <w:r>
        <w:rPr>
          <w:rFonts w:ascii="David" w:hAnsi="David" w:cs="David"/>
          <w:sz w:val="24"/>
          <w:szCs w:val="24"/>
          <w:rtl/>
        </w:rPr>
        <w:t>נוכח האמור יש לדחות את התביעה על שלל סעדיה ולחייב את התובע בהוצאות ראויות על גרירת הנתבע להליכי סרק.</w:t>
      </w:r>
    </w:p>
    <w:p w:rsidR="00B5042C" w:rsidRDefault="00B5042C" w:rsidP="00970FD9">
      <w:pPr>
        <w:jc w:val="both"/>
        <w:rPr>
          <w:rFonts w:ascii="David" w:hAnsi="David"/>
          <w:b/>
          <w:bCs/>
          <w:u w:val="single"/>
          <w:rtl/>
        </w:rPr>
      </w:pPr>
    </w:p>
    <w:p w:rsidR="00970FD9" w:rsidRDefault="00970FD9" w:rsidP="00B5042C">
      <w:pPr>
        <w:jc w:val="both"/>
        <w:rPr>
          <w:rFonts w:ascii="David" w:hAnsi="David"/>
          <w:b/>
          <w:bCs/>
          <w:u w:val="single"/>
        </w:rPr>
      </w:pPr>
      <w:r>
        <w:rPr>
          <w:rFonts w:ascii="David" w:hAnsi="David"/>
          <w:b/>
          <w:bCs/>
          <w:u w:val="single"/>
          <w:rtl/>
        </w:rPr>
        <w:t xml:space="preserve">דיון והכרעה  </w:t>
      </w:r>
    </w:p>
    <w:p w:rsidR="00970FD9" w:rsidRDefault="00970FD9" w:rsidP="00970FD9">
      <w:pPr>
        <w:pStyle w:val="ad"/>
        <w:spacing w:line="240" w:lineRule="auto"/>
        <w:ind w:left="368"/>
        <w:jc w:val="both"/>
        <w:rPr>
          <w:rFonts w:ascii="David" w:hAnsi="David" w:cs="David"/>
          <w:sz w:val="24"/>
          <w:szCs w:val="24"/>
          <w:rtl/>
        </w:rPr>
      </w:pPr>
    </w:p>
    <w:p w:rsidR="00970FD9" w:rsidRDefault="00970FD9" w:rsidP="00970FD9">
      <w:pPr>
        <w:pStyle w:val="ad"/>
        <w:numPr>
          <w:ilvl w:val="0"/>
          <w:numId w:val="1"/>
        </w:numPr>
        <w:spacing w:line="360" w:lineRule="auto"/>
        <w:ind w:left="368" w:hanging="426"/>
        <w:jc w:val="both"/>
        <w:rPr>
          <w:rFonts w:ascii="David" w:hAnsi="David" w:cs="David"/>
          <w:sz w:val="24"/>
          <w:szCs w:val="24"/>
        </w:rPr>
      </w:pPr>
      <w:r>
        <w:rPr>
          <w:rFonts w:ascii="David" w:hAnsi="David" w:cs="David"/>
          <w:sz w:val="24"/>
          <w:szCs w:val="24"/>
          <w:rtl/>
        </w:rPr>
        <w:t>בתחילת ההליך הגישה הנתבעת בקשה לסילוק התביעה על הסף. מבלי להיכנס לטענות הצדדים, יאמר, כי על מנת ליתן לתובע את יומו, בית המשפט דחה את הבקשה לסילוק ההליך על הסף, ואיפשר לתובע לנהל את ההליך עד תומו.</w:t>
      </w:r>
    </w:p>
    <w:p w:rsidR="00970FD9" w:rsidRDefault="00970FD9" w:rsidP="00970FD9">
      <w:pPr>
        <w:pStyle w:val="ad"/>
        <w:spacing w:line="240" w:lineRule="auto"/>
        <w:ind w:left="368"/>
        <w:jc w:val="both"/>
        <w:rPr>
          <w:rFonts w:ascii="David" w:hAnsi="David" w:cs="David"/>
          <w:sz w:val="24"/>
          <w:szCs w:val="24"/>
        </w:rPr>
      </w:pPr>
    </w:p>
    <w:p w:rsidR="00970FD9" w:rsidRDefault="00970FD9" w:rsidP="00B5042C">
      <w:pPr>
        <w:pStyle w:val="ad"/>
        <w:numPr>
          <w:ilvl w:val="0"/>
          <w:numId w:val="1"/>
        </w:numPr>
        <w:spacing w:line="360" w:lineRule="auto"/>
        <w:ind w:left="368" w:hanging="426"/>
        <w:jc w:val="both"/>
        <w:rPr>
          <w:rFonts w:ascii="David" w:hAnsi="David" w:cs="David"/>
          <w:sz w:val="24"/>
          <w:szCs w:val="24"/>
        </w:rPr>
      </w:pPr>
      <w:r>
        <w:rPr>
          <w:rFonts w:ascii="David" w:hAnsi="David" w:cs="David"/>
          <w:sz w:val="24"/>
          <w:szCs w:val="24"/>
          <w:rtl/>
        </w:rPr>
        <w:t xml:space="preserve">אולם גם לאחר ניהול ההליך עד תום, </w:t>
      </w:r>
      <w:r>
        <w:rPr>
          <w:rFonts w:ascii="David" w:hAnsi="David" w:cs="David"/>
          <w:b/>
          <w:bCs/>
          <w:sz w:val="24"/>
          <w:szCs w:val="24"/>
          <w:rtl/>
        </w:rPr>
        <w:t>התובע לא הצליח להוכיח את תביעתו, ועל כן אקדים את המאוחר ואומר כי דין התביעה להידחות.</w:t>
      </w:r>
      <w:r>
        <w:rPr>
          <w:rFonts w:ascii="David" w:hAnsi="David" w:cs="David"/>
          <w:sz w:val="24"/>
          <w:szCs w:val="24"/>
          <w:rtl/>
        </w:rPr>
        <w:t xml:space="preserve"> ועתה אסביר.</w:t>
      </w:r>
    </w:p>
    <w:p w:rsidR="00970FD9" w:rsidRDefault="00970FD9" w:rsidP="00970FD9">
      <w:pPr>
        <w:spacing w:line="360" w:lineRule="auto"/>
        <w:jc w:val="both"/>
        <w:rPr>
          <w:rFonts w:ascii="David" w:hAnsi="David"/>
          <w:u w:val="single"/>
          <w:rtl/>
        </w:rPr>
      </w:pPr>
      <w:r w:rsidRPr="00274F88">
        <w:rPr>
          <w:rFonts w:ascii="David" w:hAnsi="David"/>
          <w:b/>
          <w:bCs/>
          <w:u w:val="single"/>
          <w:rtl/>
        </w:rPr>
        <w:t>טענות התובע כנגד ב"כ</w:t>
      </w:r>
      <w:r w:rsidRPr="00274F88">
        <w:rPr>
          <w:rFonts w:ascii="David" w:hAnsi="David"/>
          <w:u w:val="single"/>
          <w:rtl/>
        </w:rPr>
        <w:t xml:space="preserve"> - </w:t>
      </w:r>
    </w:p>
    <w:p w:rsidR="00970FD9" w:rsidRDefault="00970FD9" w:rsidP="00B5042C">
      <w:pPr>
        <w:pStyle w:val="ad"/>
        <w:numPr>
          <w:ilvl w:val="0"/>
          <w:numId w:val="1"/>
        </w:numPr>
        <w:spacing w:line="360" w:lineRule="auto"/>
        <w:ind w:left="368" w:hanging="426"/>
        <w:jc w:val="both"/>
        <w:rPr>
          <w:rFonts w:ascii="David" w:hAnsi="David" w:cs="David"/>
          <w:sz w:val="24"/>
          <w:szCs w:val="24"/>
        </w:rPr>
      </w:pPr>
      <w:r>
        <w:rPr>
          <w:rFonts w:ascii="David" w:hAnsi="David" w:cs="David"/>
          <w:sz w:val="24"/>
          <w:szCs w:val="24"/>
          <w:rtl/>
        </w:rPr>
        <w:t xml:space="preserve">כפי שניתן ללמוד מכתבי הטענות של התובע, טענותיו עוסקות בהתנהלותו של </w:t>
      </w:r>
      <w:r w:rsidR="00B5042C">
        <w:rPr>
          <w:rFonts w:ascii="David" w:hAnsi="David" w:cs="David" w:hint="cs"/>
          <w:sz w:val="24"/>
          <w:szCs w:val="24"/>
          <w:rtl/>
        </w:rPr>
        <w:t xml:space="preserve">בא כוחו, </w:t>
      </w:r>
      <w:r w:rsidR="00B5042C">
        <w:rPr>
          <w:rFonts w:ascii="David" w:hAnsi="David" w:cs="David"/>
          <w:sz w:val="24"/>
          <w:szCs w:val="24"/>
          <w:rtl/>
        </w:rPr>
        <w:t xml:space="preserve">עו"ד </w:t>
      </w:r>
      <w:r w:rsidR="00F37117">
        <w:rPr>
          <w:rFonts w:ascii="David" w:hAnsi="David" w:cs="David"/>
          <w:sz w:val="24"/>
          <w:szCs w:val="24"/>
          <w:rtl/>
        </w:rPr>
        <w:t>ב' ז'</w:t>
      </w:r>
      <w:r w:rsidR="00B5042C">
        <w:rPr>
          <w:rFonts w:ascii="David" w:hAnsi="David" w:cs="David"/>
          <w:sz w:val="24"/>
          <w:szCs w:val="24"/>
          <w:rtl/>
        </w:rPr>
        <w:t xml:space="preserve">. </w:t>
      </w:r>
      <w:r>
        <w:rPr>
          <w:rFonts w:ascii="David" w:hAnsi="David" w:cs="David"/>
          <w:sz w:val="24"/>
          <w:szCs w:val="24"/>
          <w:rtl/>
        </w:rPr>
        <w:t xml:space="preserve">בין היתר טוען התובע כי </w:t>
      </w:r>
      <w:r w:rsidR="00B5042C">
        <w:rPr>
          <w:rFonts w:ascii="David" w:hAnsi="David" w:cs="David" w:hint="cs"/>
          <w:sz w:val="24"/>
          <w:szCs w:val="24"/>
          <w:rtl/>
        </w:rPr>
        <w:t xml:space="preserve">עורך דין </w:t>
      </w:r>
      <w:r w:rsidR="00F37117">
        <w:rPr>
          <w:rFonts w:ascii="David" w:hAnsi="David" w:cs="David" w:hint="cs"/>
          <w:sz w:val="24"/>
          <w:szCs w:val="24"/>
          <w:rtl/>
        </w:rPr>
        <w:t>ב</w:t>
      </w:r>
      <w:r w:rsidR="00F37117">
        <w:rPr>
          <w:rFonts w:ascii="David" w:hAnsi="David" w:cs="David"/>
          <w:sz w:val="24"/>
          <w:szCs w:val="24"/>
          <w:rtl/>
        </w:rPr>
        <w:t>'</w:t>
      </w:r>
      <w:r w:rsidR="00F37117">
        <w:rPr>
          <w:rFonts w:ascii="David" w:hAnsi="David" w:cs="David" w:hint="cs"/>
          <w:sz w:val="24"/>
          <w:szCs w:val="24"/>
          <w:rtl/>
        </w:rPr>
        <w:t xml:space="preserve"> ז</w:t>
      </w:r>
      <w:r w:rsidR="00F37117">
        <w:rPr>
          <w:rFonts w:ascii="David" w:hAnsi="David" w:cs="David"/>
          <w:sz w:val="24"/>
          <w:szCs w:val="24"/>
          <w:rtl/>
        </w:rPr>
        <w:t>'</w:t>
      </w:r>
      <w:r>
        <w:rPr>
          <w:rFonts w:ascii="David" w:hAnsi="David" w:cs="David"/>
          <w:sz w:val="24"/>
          <w:szCs w:val="24"/>
          <w:rtl/>
        </w:rPr>
        <w:t xml:space="preserve"> לא הסביר לו את ההסכמות שנתן בשמו, </w:t>
      </w:r>
      <w:r w:rsidR="000B479B">
        <w:rPr>
          <w:rFonts w:ascii="David" w:hAnsi="David" w:cs="David" w:hint="cs"/>
          <w:sz w:val="24"/>
          <w:szCs w:val="24"/>
          <w:rtl/>
        </w:rPr>
        <w:t xml:space="preserve">כי </w:t>
      </w:r>
      <w:r w:rsidR="00B5042C">
        <w:rPr>
          <w:rFonts w:ascii="David" w:hAnsi="David" w:cs="David"/>
          <w:sz w:val="24"/>
          <w:szCs w:val="24"/>
          <w:rtl/>
        </w:rPr>
        <w:t>לא נשכר לשם ייצוג בענין רכושי</w:t>
      </w:r>
      <w:r w:rsidR="00B5042C">
        <w:rPr>
          <w:rFonts w:ascii="David" w:hAnsi="David" w:cs="David" w:hint="cs"/>
          <w:sz w:val="24"/>
          <w:szCs w:val="24"/>
          <w:rtl/>
        </w:rPr>
        <w:t xml:space="preserve"> ו</w:t>
      </w:r>
      <w:r w:rsidR="000B479B">
        <w:rPr>
          <w:rFonts w:ascii="David" w:hAnsi="David" w:cs="David" w:hint="cs"/>
          <w:sz w:val="24"/>
          <w:szCs w:val="24"/>
          <w:rtl/>
        </w:rPr>
        <w:t xml:space="preserve">כי </w:t>
      </w:r>
      <w:r>
        <w:rPr>
          <w:rFonts w:ascii="David" w:hAnsi="David" w:cs="David"/>
          <w:sz w:val="24"/>
          <w:szCs w:val="24"/>
          <w:rtl/>
        </w:rPr>
        <w:t xml:space="preserve">אמר לו כי לא ניתן לערער על פסק הדין. </w:t>
      </w:r>
    </w:p>
    <w:p w:rsidR="00970FD9" w:rsidRDefault="00970FD9" w:rsidP="00970FD9">
      <w:pPr>
        <w:pStyle w:val="ad"/>
        <w:rPr>
          <w:rFonts w:ascii="David" w:hAnsi="David" w:cs="David"/>
          <w:sz w:val="24"/>
          <w:szCs w:val="24"/>
        </w:rPr>
      </w:pPr>
    </w:p>
    <w:p w:rsidR="00970FD9" w:rsidRDefault="00970FD9" w:rsidP="00B5042C">
      <w:pPr>
        <w:pStyle w:val="ad"/>
        <w:numPr>
          <w:ilvl w:val="0"/>
          <w:numId w:val="1"/>
        </w:numPr>
        <w:spacing w:line="360" w:lineRule="auto"/>
        <w:ind w:left="368" w:hanging="426"/>
        <w:jc w:val="both"/>
        <w:rPr>
          <w:rFonts w:ascii="David" w:hAnsi="David" w:cs="David"/>
          <w:sz w:val="24"/>
          <w:szCs w:val="24"/>
          <w:rtl/>
        </w:rPr>
      </w:pPr>
      <w:r>
        <w:rPr>
          <w:rFonts w:ascii="David" w:hAnsi="David" w:cs="David"/>
          <w:sz w:val="24"/>
          <w:szCs w:val="24"/>
          <w:rtl/>
        </w:rPr>
        <w:t xml:space="preserve">אם היה ספק </w:t>
      </w:r>
      <w:r w:rsidR="00472BBA">
        <w:rPr>
          <w:rFonts w:ascii="David" w:hAnsi="David" w:cs="David" w:hint="cs"/>
          <w:sz w:val="24"/>
          <w:szCs w:val="24"/>
          <w:rtl/>
        </w:rPr>
        <w:t xml:space="preserve">שזו למעשה הטענה </w:t>
      </w:r>
      <w:r w:rsidR="00B5042C">
        <w:rPr>
          <w:rFonts w:ascii="David" w:hAnsi="David" w:cs="David" w:hint="cs"/>
          <w:sz w:val="24"/>
          <w:szCs w:val="24"/>
          <w:rtl/>
        </w:rPr>
        <w:t xml:space="preserve">היחידה </w:t>
      </w:r>
      <w:r w:rsidR="00472BBA">
        <w:rPr>
          <w:rFonts w:ascii="David" w:hAnsi="David" w:cs="David" w:hint="cs"/>
          <w:sz w:val="24"/>
          <w:szCs w:val="24"/>
          <w:rtl/>
        </w:rPr>
        <w:t>של התובע</w:t>
      </w:r>
      <w:r>
        <w:rPr>
          <w:rFonts w:ascii="David" w:hAnsi="David" w:cs="David"/>
          <w:sz w:val="24"/>
          <w:szCs w:val="24"/>
          <w:rtl/>
        </w:rPr>
        <w:t xml:space="preserve">, התובע חיזק עמדה זאת, עת נשאל בחקירתו האם כל הטענה היא כנגד עורך דין </w:t>
      </w:r>
      <w:r w:rsidR="00F37117">
        <w:rPr>
          <w:rFonts w:ascii="David" w:hAnsi="David" w:cs="David"/>
          <w:sz w:val="24"/>
          <w:szCs w:val="24"/>
          <w:rtl/>
        </w:rPr>
        <w:t>ב' ז'</w:t>
      </w:r>
      <w:r w:rsidR="00B5042C">
        <w:rPr>
          <w:rFonts w:ascii="David" w:hAnsi="David" w:cs="David" w:hint="cs"/>
          <w:sz w:val="24"/>
          <w:szCs w:val="24"/>
          <w:rtl/>
        </w:rPr>
        <w:t>,</w:t>
      </w:r>
      <w:r>
        <w:rPr>
          <w:rFonts w:ascii="David" w:hAnsi="David" w:cs="David"/>
          <w:sz w:val="24"/>
          <w:szCs w:val="24"/>
          <w:rtl/>
        </w:rPr>
        <w:t xml:space="preserve"> ותשובתו היתה כן </w:t>
      </w:r>
      <w:bookmarkStart w:id="2" w:name="_Hlk181600811"/>
      <w:r>
        <w:rPr>
          <w:rFonts w:ascii="David" w:hAnsi="David" w:cs="David"/>
          <w:sz w:val="24"/>
          <w:szCs w:val="24"/>
          <w:rtl/>
        </w:rPr>
        <w:t>(</w:t>
      </w:r>
      <w:r w:rsidR="004A2A12">
        <w:rPr>
          <w:rFonts w:ascii="David" w:hAnsi="David" w:cs="David" w:hint="cs"/>
          <w:sz w:val="24"/>
          <w:szCs w:val="24"/>
          <w:rtl/>
        </w:rPr>
        <w:t xml:space="preserve">ראו: </w:t>
      </w:r>
      <w:r>
        <w:rPr>
          <w:rFonts w:ascii="David" w:hAnsi="David" w:cs="David"/>
          <w:sz w:val="24"/>
          <w:szCs w:val="24"/>
          <w:rtl/>
        </w:rPr>
        <w:t>פרוטוקול דיון מיום 11.9.24 עמוד 60 שורות 12-16)</w:t>
      </w:r>
      <w:bookmarkEnd w:id="2"/>
      <w:r>
        <w:rPr>
          <w:rFonts w:ascii="David" w:hAnsi="David" w:cs="David"/>
          <w:sz w:val="24"/>
          <w:szCs w:val="24"/>
          <w:rtl/>
        </w:rPr>
        <w:t>.</w:t>
      </w:r>
    </w:p>
    <w:p w:rsidR="00970FD9" w:rsidRDefault="00970FD9" w:rsidP="00472BBA">
      <w:pPr>
        <w:pStyle w:val="ad"/>
        <w:spacing w:line="240" w:lineRule="auto"/>
        <w:ind w:left="368"/>
        <w:jc w:val="both"/>
        <w:rPr>
          <w:rFonts w:ascii="David" w:hAnsi="David" w:cs="David"/>
          <w:sz w:val="24"/>
          <w:szCs w:val="24"/>
          <w:rtl/>
        </w:rPr>
      </w:pPr>
    </w:p>
    <w:p w:rsidR="004F4B1E" w:rsidRDefault="00970FD9" w:rsidP="000B479B">
      <w:pPr>
        <w:pStyle w:val="ad"/>
        <w:numPr>
          <w:ilvl w:val="0"/>
          <w:numId w:val="1"/>
        </w:numPr>
        <w:spacing w:line="360" w:lineRule="auto"/>
        <w:ind w:left="368" w:hanging="426"/>
        <w:jc w:val="both"/>
        <w:rPr>
          <w:rFonts w:ascii="David" w:hAnsi="David" w:cs="David"/>
          <w:sz w:val="24"/>
          <w:szCs w:val="24"/>
        </w:rPr>
      </w:pPr>
      <w:r>
        <w:rPr>
          <w:rFonts w:ascii="David" w:hAnsi="David" w:cs="David"/>
          <w:sz w:val="24"/>
          <w:szCs w:val="24"/>
          <w:rtl/>
        </w:rPr>
        <w:t>כידוע, טענות כנגד ב"כ מייצג אינן עילות לביטול הסכם</w:t>
      </w:r>
      <w:r w:rsidR="00472BBA">
        <w:rPr>
          <w:rFonts w:ascii="David" w:hAnsi="David" w:cs="David" w:hint="cs"/>
          <w:sz w:val="24"/>
          <w:szCs w:val="24"/>
          <w:rtl/>
        </w:rPr>
        <w:t>. ב</w:t>
      </w:r>
      <w:r w:rsidR="00137D28">
        <w:rPr>
          <w:rFonts w:ascii="David" w:hAnsi="David" w:cs="David" w:hint="cs"/>
          <w:sz w:val="24"/>
          <w:szCs w:val="24"/>
          <w:rtl/>
        </w:rPr>
        <w:t xml:space="preserve">תמ"ש 49751-99 </w:t>
      </w:r>
      <w:r w:rsidR="00137D28" w:rsidRPr="00137D28">
        <w:rPr>
          <w:rFonts w:ascii="David" w:hAnsi="David" w:cs="David" w:hint="cs"/>
          <w:b/>
          <w:bCs/>
          <w:sz w:val="24"/>
          <w:szCs w:val="24"/>
          <w:rtl/>
        </w:rPr>
        <w:t>א.ג.מ. נ' ל.כ. ואח'</w:t>
      </w:r>
      <w:r w:rsidR="000D5FAA">
        <w:rPr>
          <w:rFonts w:ascii="David" w:hAnsi="David" w:cs="David" w:hint="cs"/>
          <w:b/>
          <w:bCs/>
          <w:sz w:val="24"/>
          <w:szCs w:val="24"/>
          <w:rtl/>
        </w:rPr>
        <w:t xml:space="preserve"> </w:t>
      </w:r>
      <w:r w:rsidR="000D5FAA" w:rsidRPr="000D5FAA">
        <w:rPr>
          <w:rFonts w:ascii="David" w:hAnsi="David" w:cs="David" w:hint="cs"/>
          <w:sz w:val="24"/>
          <w:szCs w:val="24"/>
          <w:rtl/>
        </w:rPr>
        <w:t>(פורסם במאגרים אלקטרוניים ביום 01.06.2008)</w:t>
      </w:r>
      <w:r w:rsidR="00137D28">
        <w:rPr>
          <w:rFonts w:ascii="David" w:hAnsi="David" w:cs="David" w:hint="cs"/>
          <w:sz w:val="24"/>
          <w:szCs w:val="24"/>
          <w:rtl/>
        </w:rPr>
        <w:t xml:space="preserve">, </w:t>
      </w:r>
      <w:r w:rsidR="00472BBA">
        <w:rPr>
          <w:rFonts w:ascii="David" w:hAnsi="David" w:cs="David" w:hint="cs"/>
          <w:sz w:val="24"/>
          <w:szCs w:val="24"/>
          <w:rtl/>
        </w:rPr>
        <w:t xml:space="preserve"> בחן בית המשפט את השאלה האם "ייצוג גרוע" לכאורה מקנה לשולח עילה לבטלות ההסכם והגיע למסקנה שהתשובה הינה שלילית, תוך שהבהיר שגם לו היה מוכיח בעל הדין את טענתו, לכל היותר קמה לו עילת תביעה כ</w:t>
      </w:r>
      <w:r w:rsidR="004F4B1E">
        <w:rPr>
          <w:rFonts w:ascii="David" w:hAnsi="David" w:cs="David" w:hint="cs"/>
          <w:sz w:val="24"/>
          <w:szCs w:val="24"/>
          <w:rtl/>
        </w:rPr>
        <w:t>נגד ב"כ בגין הייצוג הבלתי ראוי, ובוודאי שאין זו עילה לבטלותו של ההסכם.</w:t>
      </w:r>
      <w:r w:rsidR="000B479B">
        <w:rPr>
          <w:rFonts w:ascii="David" w:hAnsi="David" w:cs="David" w:hint="cs"/>
          <w:sz w:val="24"/>
          <w:szCs w:val="24"/>
          <w:rtl/>
        </w:rPr>
        <w:t xml:space="preserve"> גם שאלת מתן ההרשאה נידונה בפסיקה, האם היתה צריכה להיות הרשאה מפורשת להליך ספציפי, או שמא ייצוגו בהליך משפטי מהווה הרשאה בפני עצמה, ובכל מקרה, טענות אלה, ככל שיש בהם טעם, נוגעות לכל היותר, למישור היחסים שבין התובע לבין ב"כ</w:t>
      </w:r>
      <w:r w:rsidR="00B42BE2">
        <w:rPr>
          <w:rFonts w:ascii="David" w:hAnsi="David" w:cs="David" w:hint="cs"/>
          <w:sz w:val="24"/>
          <w:szCs w:val="24"/>
          <w:rtl/>
        </w:rPr>
        <w:t xml:space="preserve">, עורך דין </w:t>
      </w:r>
      <w:r w:rsidR="00F37117">
        <w:rPr>
          <w:rFonts w:ascii="David" w:hAnsi="David" w:cs="David" w:hint="cs"/>
          <w:sz w:val="24"/>
          <w:szCs w:val="24"/>
          <w:rtl/>
        </w:rPr>
        <w:t>ב</w:t>
      </w:r>
      <w:r w:rsidR="00F37117">
        <w:rPr>
          <w:rFonts w:ascii="David" w:hAnsi="David" w:cs="David"/>
          <w:sz w:val="24"/>
          <w:szCs w:val="24"/>
          <w:rtl/>
        </w:rPr>
        <w:t>'</w:t>
      </w:r>
      <w:r w:rsidR="00F37117">
        <w:rPr>
          <w:rFonts w:ascii="David" w:hAnsi="David" w:cs="David" w:hint="cs"/>
          <w:sz w:val="24"/>
          <w:szCs w:val="24"/>
          <w:rtl/>
        </w:rPr>
        <w:t xml:space="preserve"> ז</w:t>
      </w:r>
      <w:r w:rsidR="00F37117">
        <w:rPr>
          <w:rFonts w:ascii="David" w:hAnsi="David" w:cs="David"/>
          <w:sz w:val="24"/>
          <w:szCs w:val="24"/>
          <w:rtl/>
        </w:rPr>
        <w:t>'</w:t>
      </w:r>
      <w:r w:rsidR="000B479B">
        <w:rPr>
          <w:rFonts w:ascii="David" w:hAnsi="David" w:cs="David" w:hint="cs"/>
          <w:sz w:val="24"/>
          <w:szCs w:val="24"/>
          <w:rtl/>
        </w:rPr>
        <w:t>.</w:t>
      </w:r>
    </w:p>
    <w:p w:rsidR="004F4B1E" w:rsidRPr="004F4B1E" w:rsidRDefault="004F4B1E" w:rsidP="004F4B1E">
      <w:pPr>
        <w:pStyle w:val="ad"/>
        <w:rPr>
          <w:rFonts w:ascii="David" w:hAnsi="David" w:cs="David"/>
          <w:sz w:val="24"/>
          <w:szCs w:val="24"/>
          <w:rtl/>
        </w:rPr>
      </w:pPr>
    </w:p>
    <w:p w:rsidR="00970FD9" w:rsidRPr="004F4B1E" w:rsidRDefault="00970FD9" w:rsidP="00B42BE2">
      <w:pPr>
        <w:pStyle w:val="ad"/>
        <w:numPr>
          <w:ilvl w:val="0"/>
          <w:numId w:val="1"/>
        </w:numPr>
        <w:spacing w:line="360" w:lineRule="auto"/>
        <w:ind w:left="368" w:hanging="426"/>
        <w:jc w:val="both"/>
        <w:rPr>
          <w:rFonts w:ascii="David" w:hAnsi="David" w:cs="David"/>
          <w:sz w:val="24"/>
          <w:szCs w:val="24"/>
        </w:rPr>
      </w:pPr>
      <w:r w:rsidRPr="004F4B1E">
        <w:rPr>
          <w:rFonts w:ascii="David" w:hAnsi="David" w:cs="David"/>
          <w:sz w:val="24"/>
          <w:szCs w:val="24"/>
          <w:rtl/>
        </w:rPr>
        <w:t xml:space="preserve">משהתובע </w:t>
      </w:r>
      <w:r w:rsidR="004F4B1E">
        <w:rPr>
          <w:rFonts w:ascii="David" w:hAnsi="David" w:cs="David" w:hint="cs"/>
          <w:sz w:val="24"/>
          <w:szCs w:val="24"/>
          <w:rtl/>
        </w:rPr>
        <w:t xml:space="preserve">כאמור </w:t>
      </w:r>
      <w:r w:rsidRPr="004F4B1E">
        <w:rPr>
          <w:rFonts w:ascii="David" w:hAnsi="David" w:cs="David"/>
          <w:sz w:val="24"/>
          <w:szCs w:val="24"/>
          <w:rtl/>
        </w:rPr>
        <w:t xml:space="preserve">השיב בחקירתו כי כל טענותיו מופנות כלפי </w:t>
      </w:r>
      <w:r w:rsidR="00B42BE2">
        <w:rPr>
          <w:rFonts w:ascii="David" w:hAnsi="David" w:cs="David" w:hint="cs"/>
          <w:sz w:val="24"/>
          <w:szCs w:val="24"/>
          <w:rtl/>
        </w:rPr>
        <w:t xml:space="preserve">עורך דין </w:t>
      </w:r>
      <w:r w:rsidR="00F37117">
        <w:rPr>
          <w:rFonts w:ascii="David" w:hAnsi="David" w:cs="David" w:hint="cs"/>
          <w:sz w:val="24"/>
          <w:szCs w:val="24"/>
          <w:rtl/>
        </w:rPr>
        <w:t>ב</w:t>
      </w:r>
      <w:r w:rsidR="00F37117">
        <w:rPr>
          <w:rFonts w:ascii="David" w:hAnsi="David" w:cs="David"/>
          <w:sz w:val="24"/>
          <w:szCs w:val="24"/>
          <w:rtl/>
        </w:rPr>
        <w:t>'</w:t>
      </w:r>
      <w:r w:rsidR="00F37117">
        <w:rPr>
          <w:rFonts w:ascii="David" w:hAnsi="David" w:cs="David" w:hint="cs"/>
          <w:sz w:val="24"/>
          <w:szCs w:val="24"/>
          <w:rtl/>
        </w:rPr>
        <w:t xml:space="preserve"> ז</w:t>
      </w:r>
      <w:r w:rsidR="00F37117">
        <w:rPr>
          <w:rFonts w:ascii="David" w:hAnsi="David" w:cs="David"/>
          <w:sz w:val="24"/>
          <w:szCs w:val="24"/>
          <w:rtl/>
        </w:rPr>
        <w:t>'</w:t>
      </w:r>
      <w:r w:rsidRPr="004F4B1E">
        <w:rPr>
          <w:rFonts w:ascii="David" w:hAnsi="David" w:cs="David"/>
          <w:sz w:val="24"/>
          <w:szCs w:val="24"/>
          <w:rtl/>
        </w:rPr>
        <w:t xml:space="preserve">, יכול היה בית המשפט לדחות את התביעה רק מטעם זה, ולסיים את פסק הדין כבר כאן. </w:t>
      </w:r>
    </w:p>
    <w:p w:rsidR="00EB1F3F" w:rsidRPr="00EB1F3F" w:rsidRDefault="00EB1F3F" w:rsidP="00EB1F3F">
      <w:pPr>
        <w:pStyle w:val="ad"/>
        <w:rPr>
          <w:rFonts w:ascii="David" w:hAnsi="David" w:cs="David"/>
          <w:sz w:val="24"/>
          <w:szCs w:val="24"/>
          <w:rtl/>
        </w:rPr>
      </w:pPr>
    </w:p>
    <w:p w:rsidR="00043AC3" w:rsidRDefault="00970FD9" w:rsidP="00B42BE2">
      <w:pPr>
        <w:pStyle w:val="ad"/>
        <w:numPr>
          <w:ilvl w:val="0"/>
          <w:numId w:val="1"/>
        </w:numPr>
        <w:spacing w:line="360" w:lineRule="auto"/>
        <w:ind w:left="368" w:hanging="426"/>
        <w:jc w:val="both"/>
        <w:rPr>
          <w:rFonts w:ascii="David" w:hAnsi="David" w:cs="David"/>
          <w:sz w:val="24"/>
          <w:szCs w:val="24"/>
        </w:rPr>
      </w:pPr>
      <w:r>
        <w:rPr>
          <w:rFonts w:ascii="David" w:hAnsi="David" w:cs="David"/>
          <w:sz w:val="24"/>
          <w:szCs w:val="24"/>
          <w:rtl/>
        </w:rPr>
        <w:t xml:space="preserve">יחד עם זאת ולמעלה מן הצורך, מאחר </w:t>
      </w:r>
      <w:r w:rsidR="00B42BE2">
        <w:rPr>
          <w:rFonts w:ascii="David" w:hAnsi="David" w:cs="David" w:hint="cs"/>
          <w:sz w:val="24"/>
          <w:szCs w:val="24"/>
          <w:rtl/>
        </w:rPr>
        <w:t>ו</w:t>
      </w:r>
      <w:r w:rsidR="005934ED">
        <w:rPr>
          <w:rFonts w:ascii="David" w:hAnsi="David" w:cs="David"/>
          <w:sz w:val="24"/>
          <w:szCs w:val="24"/>
          <w:rtl/>
        </w:rPr>
        <w:t xml:space="preserve">התובע </w:t>
      </w:r>
      <w:r w:rsidR="00B42BE2">
        <w:rPr>
          <w:rFonts w:ascii="David" w:hAnsi="David" w:cs="David" w:hint="cs"/>
          <w:sz w:val="24"/>
          <w:szCs w:val="24"/>
          <w:rtl/>
        </w:rPr>
        <w:t xml:space="preserve">העלה </w:t>
      </w:r>
      <w:r w:rsidR="005934ED">
        <w:rPr>
          <w:rFonts w:ascii="David" w:hAnsi="David" w:cs="David"/>
          <w:sz w:val="24"/>
          <w:szCs w:val="24"/>
          <w:rtl/>
        </w:rPr>
        <w:t>טענות נוספות</w:t>
      </w:r>
      <w:r w:rsidR="005934ED">
        <w:rPr>
          <w:rFonts w:ascii="David" w:hAnsi="David" w:cs="David" w:hint="cs"/>
          <w:sz w:val="24"/>
          <w:szCs w:val="24"/>
          <w:rtl/>
        </w:rPr>
        <w:t xml:space="preserve">, מגוונות יש לומר, </w:t>
      </w:r>
      <w:r>
        <w:rPr>
          <w:rFonts w:ascii="David" w:hAnsi="David" w:cs="David"/>
          <w:sz w:val="24"/>
          <w:szCs w:val="24"/>
          <w:rtl/>
        </w:rPr>
        <w:t xml:space="preserve">ירחיב בית המשפט את פסק הדין ויבהיר מדוע לא הצליח התובע להוכיח גם טענות אלה, </w:t>
      </w:r>
      <w:r w:rsidR="005934ED">
        <w:rPr>
          <w:rFonts w:ascii="David" w:hAnsi="David" w:cs="David" w:hint="cs"/>
          <w:sz w:val="24"/>
          <w:szCs w:val="24"/>
          <w:rtl/>
        </w:rPr>
        <w:t>ו</w:t>
      </w:r>
      <w:r>
        <w:rPr>
          <w:rFonts w:ascii="David" w:hAnsi="David" w:cs="David"/>
          <w:sz w:val="24"/>
          <w:szCs w:val="24"/>
          <w:rtl/>
        </w:rPr>
        <w:t xml:space="preserve">מדוע אין מדובר בעילות לביטול הסכם </w:t>
      </w:r>
      <w:r w:rsidR="005934ED">
        <w:rPr>
          <w:rFonts w:ascii="David" w:hAnsi="David" w:cs="David" w:hint="cs"/>
          <w:sz w:val="24"/>
          <w:szCs w:val="24"/>
          <w:rtl/>
        </w:rPr>
        <w:t>ועל כן</w:t>
      </w:r>
      <w:r>
        <w:rPr>
          <w:rFonts w:ascii="David" w:hAnsi="David" w:cs="David"/>
          <w:sz w:val="24"/>
          <w:szCs w:val="24"/>
          <w:rtl/>
        </w:rPr>
        <w:t xml:space="preserve"> דינן של כל הטענות להידחות.</w:t>
      </w:r>
    </w:p>
    <w:p w:rsidR="00970FD9" w:rsidRDefault="00970FD9" w:rsidP="00970FD9">
      <w:pPr>
        <w:spacing w:line="360" w:lineRule="auto"/>
        <w:jc w:val="both"/>
        <w:rPr>
          <w:rFonts w:ascii="David" w:hAnsi="David"/>
          <w:rtl/>
        </w:rPr>
      </w:pPr>
      <w:r>
        <w:rPr>
          <w:rFonts w:ascii="David" w:hAnsi="David"/>
          <w:b/>
          <w:bCs/>
          <w:u w:val="single"/>
          <w:rtl/>
        </w:rPr>
        <w:t>התובע לא הצליח להוכיח שלא הבין מה הכוונה במילים "פירוק שיתוף"</w:t>
      </w:r>
      <w:r>
        <w:rPr>
          <w:rFonts w:ascii="David" w:hAnsi="David"/>
          <w:rtl/>
        </w:rPr>
        <w:t xml:space="preserve"> </w:t>
      </w:r>
    </w:p>
    <w:p w:rsidR="005934ED" w:rsidRDefault="005934ED" w:rsidP="005934ED">
      <w:pPr>
        <w:jc w:val="both"/>
        <w:rPr>
          <w:rFonts w:ascii="David" w:hAnsi="David"/>
          <w:rtl/>
        </w:rPr>
      </w:pPr>
    </w:p>
    <w:p w:rsidR="00970FD9" w:rsidRDefault="00970FD9" w:rsidP="00970FD9">
      <w:pPr>
        <w:pStyle w:val="ad"/>
        <w:numPr>
          <w:ilvl w:val="0"/>
          <w:numId w:val="1"/>
        </w:numPr>
        <w:spacing w:line="360" w:lineRule="auto"/>
        <w:ind w:left="368" w:hanging="426"/>
        <w:jc w:val="both"/>
        <w:rPr>
          <w:rFonts w:ascii="David" w:hAnsi="David" w:cs="David"/>
          <w:sz w:val="24"/>
          <w:szCs w:val="24"/>
          <w:rtl/>
        </w:rPr>
      </w:pPr>
      <w:r>
        <w:rPr>
          <w:rFonts w:ascii="David" w:hAnsi="David" w:cs="David"/>
          <w:sz w:val="24"/>
          <w:szCs w:val="24"/>
          <w:rtl/>
        </w:rPr>
        <w:t>לטענת התובע, לא הבין בכלל שההסכמה שנתן לפירוק שיתוף הינה בקשר לבית המגורים ועל כן נשאל מה כן הבין מהמילים "פירוק שיתוף" ותשובתו היתה "</w:t>
      </w:r>
      <w:r>
        <w:rPr>
          <w:rFonts w:ascii="David" w:hAnsi="David" w:cs="David"/>
          <w:b/>
          <w:bCs/>
          <w:sz w:val="24"/>
          <w:szCs w:val="24"/>
          <w:rtl/>
        </w:rPr>
        <w:t>שיש פירוק שיתוף מבחינתי פירוק שיתוף זה ההפרדה ביני לבינה, זה השיתוף היחיד שיש לי איתה</w:t>
      </w:r>
      <w:r>
        <w:rPr>
          <w:rFonts w:ascii="David" w:hAnsi="David" w:cs="David"/>
          <w:sz w:val="24"/>
          <w:szCs w:val="24"/>
          <w:rtl/>
        </w:rPr>
        <w:t>" (</w:t>
      </w:r>
      <w:r w:rsidR="00411902">
        <w:rPr>
          <w:rFonts w:ascii="David" w:hAnsi="David" w:cs="David" w:hint="cs"/>
          <w:sz w:val="24"/>
          <w:szCs w:val="24"/>
          <w:rtl/>
        </w:rPr>
        <w:t xml:space="preserve">ראו: </w:t>
      </w:r>
      <w:r>
        <w:rPr>
          <w:rFonts w:ascii="David" w:hAnsi="David" w:cs="David"/>
          <w:sz w:val="24"/>
          <w:szCs w:val="24"/>
          <w:rtl/>
        </w:rPr>
        <w:t>פרוטוקול דיון מיום 18.9.2024 עמוד 26 שורות 19-20).</w:t>
      </w:r>
    </w:p>
    <w:p w:rsidR="00970FD9" w:rsidRDefault="00970FD9" w:rsidP="005934ED">
      <w:pPr>
        <w:pStyle w:val="ad"/>
        <w:spacing w:line="240" w:lineRule="auto"/>
        <w:ind w:left="368"/>
        <w:jc w:val="both"/>
        <w:rPr>
          <w:rFonts w:ascii="David" w:hAnsi="David" w:cs="David"/>
          <w:sz w:val="24"/>
          <w:szCs w:val="24"/>
        </w:rPr>
      </w:pPr>
    </w:p>
    <w:p w:rsidR="00970FD9" w:rsidRDefault="00970FD9" w:rsidP="00970FD9">
      <w:pPr>
        <w:pStyle w:val="ad"/>
        <w:numPr>
          <w:ilvl w:val="0"/>
          <w:numId w:val="1"/>
        </w:numPr>
        <w:spacing w:line="360" w:lineRule="auto"/>
        <w:ind w:left="368" w:hanging="426"/>
        <w:jc w:val="both"/>
        <w:rPr>
          <w:rFonts w:ascii="David" w:hAnsi="David" w:cs="David"/>
          <w:sz w:val="24"/>
          <w:szCs w:val="24"/>
          <w:rtl/>
        </w:rPr>
      </w:pPr>
      <w:r>
        <w:rPr>
          <w:rFonts w:ascii="David" w:hAnsi="David" w:cs="David"/>
          <w:sz w:val="24"/>
          <w:szCs w:val="24"/>
          <w:rtl/>
        </w:rPr>
        <w:t xml:space="preserve">עם כל הכבוד בית המשפט לא יכול לקבל תשובה זו. </w:t>
      </w:r>
    </w:p>
    <w:p w:rsidR="00970FD9" w:rsidRDefault="00970FD9" w:rsidP="00970FD9">
      <w:pPr>
        <w:pStyle w:val="ad"/>
        <w:spacing w:line="360" w:lineRule="auto"/>
        <w:ind w:left="368"/>
        <w:jc w:val="both"/>
        <w:rPr>
          <w:rFonts w:ascii="David" w:hAnsi="David" w:cs="David"/>
          <w:sz w:val="24"/>
          <w:szCs w:val="24"/>
          <w:rtl/>
        </w:rPr>
      </w:pPr>
      <w:r>
        <w:rPr>
          <w:rFonts w:ascii="David" w:hAnsi="David" w:cs="David"/>
          <w:b/>
          <w:bCs/>
          <w:sz w:val="24"/>
          <w:szCs w:val="24"/>
          <w:rtl/>
        </w:rPr>
        <w:t>ראשית</w:t>
      </w:r>
      <w:r>
        <w:rPr>
          <w:rFonts w:ascii="David" w:hAnsi="David" w:cs="David"/>
          <w:sz w:val="24"/>
          <w:szCs w:val="24"/>
          <w:rtl/>
        </w:rPr>
        <w:t xml:space="preserve">, מדובר באדם בוגר, עברית היא שפת אם עבורו, קורא וכותב, מלומד, כשיר, שבוודאי מבין את פירוש המילה פירוק שיתוף, שאינו בהכרח מושג משפטי. </w:t>
      </w:r>
    </w:p>
    <w:p w:rsidR="00970FD9" w:rsidRDefault="00970FD9" w:rsidP="00970FD9">
      <w:pPr>
        <w:pStyle w:val="ad"/>
        <w:spacing w:line="360" w:lineRule="auto"/>
        <w:ind w:left="368"/>
        <w:jc w:val="both"/>
        <w:rPr>
          <w:rFonts w:ascii="David" w:hAnsi="David" w:cs="David"/>
          <w:sz w:val="24"/>
          <w:szCs w:val="24"/>
          <w:rtl/>
        </w:rPr>
      </w:pPr>
      <w:r>
        <w:rPr>
          <w:rFonts w:ascii="David" w:hAnsi="David" w:cs="David"/>
          <w:b/>
          <w:bCs/>
          <w:sz w:val="24"/>
          <w:szCs w:val="24"/>
          <w:rtl/>
        </w:rPr>
        <w:t>שנית</w:t>
      </w:r>
      <w:r>
        <w:rPr>
          <w:rFonts w:ascii="David" w:hAnsi="David" w:cs="David"/>
          <w:sz w:val="24"/>
          <w:szCs w:val="24"/>
          <w:rtl/>
        </w:rPr>
        <w:t xml:space="preserve">, פירוק והפרדה אינן מילים נרדפות. הווה אומר שגם אם התובע לא הבין את משמעות המילה פירוק, בהקשר המשפטי, בוודאי לא יכול לטעון כי הבין שפירוש המילה פירוק הינה הפרדה. </w:t>
      </w:r>
    </w:p>
    <w:p w:rsidR="00970FD9" w:rsidRDefault="00970FD9" w:rsidP="00970FD9">
      <w:pPr>
        <w:pStyle w:val="ad"/>
        <w:spacing w:line="360" w:lineRule="auto"/>
        <w:ind w:left="368"/>
        <w:jc w:val="both"/>
        <w:rPr>
          <w:rFonts w:ascii="David" w:hAnsi="David" w:cs="David"/>
          <w:sz w:val="24"/>
          <w:szCs w:val="24"/>
          <w:rtl/>
        </w:rPr>
      </w:pPr>
      <w:r>
        <w:rPr>
          <w:rFonts w:ascii="David" w:hAnsi="David" w:cs="David"/>
          <w:b/>
          <w:bCs/>
          <w:sz w:val="24"/>
          <w:szCs w:val="24"/>
          <w:rtl/>
        </w:rPr>
        <w:t>שלישית</w:t>
      </w:r>
      <w:r>
        <w:rPr>
          <w:rFonts w:ascii="David" w:hAnsi="David" w:cs="David"/>
          <w:sz w:val="24"/>
          <w:szCs w:val="24"/>
          <w:rtl/>
        </w:rPr>
        <w:t xml:space="preserve">, גם המשך התשובה של התובע לפיה אין לו שום דבר משותף עם הנתבעת ולכן לא הבין שמדובר בדירת המגורים אינה נכונה, בוודאי במקום שהתובע בעצמו הגיש תביעות רכושיות כנגד הנתבעת, בהן עתר לזכויות, שלשיטתו, משותפות לו ולנתבעת. </w:t>
      </w:r>
    </w:p>
    <w:p w:rsidR="00970FD9" w:rsidRDefault="00970FD9" w:rsidP="00970FD9">
      <w:pPr>
        <w:spacing w:line="360" w:lineRule="auto"/>
        <w:jc w:val="both"/>
        <w:rPr>
          <w:rFonts w:ascii="David" w:hAnsi="David"/>
          <w:rtl/>
        </w:rPr>
      </w:pPr>
      <w:r>
        <w:rPr>
          <w:rFonts w:ascii="David" w:hAnsi="David"/>
          <w:b/>
          <w:bCs/>
          <w:u w:val="single"/>
          <w:rtl/>
        </w:rPr>
        <w:lastRenderedPageBreak/>
        <w:t>התובע לא הצליח להוכיח כי לא הבין שמדובר במכירת הבית</w:t>
      </w:r>
      <w:r>
        <w:rPr>
          <w:rFonts w:ascii="David" w:hAnsi="David"/>
          <w:rtl/>
        </w:rPr>
        <w:t xml:space="preserve"> </w:t>
      </w:r>
    </w:p>
    <w:p w:rsidR="005934ED" w:rsidRDefault="005934ED" w:rsidP="005934ED">
      <w:pPr>
        <w:jc w:val="both"/>
        <w:rPr>
          <w:rFonts w:ascii="David" w:hAnsi="David"/>
          <w:rtl/>
        </w:rPr>
      </w:pPr>
    </w:p>
    <w:p w:rsidR="00970FD9" w:rsidRDefault="00970FD9" w:rsidP="00970FD9">
      <w:pPr>
        <w:pStyle w:val="ad"/>
        <w:numPr>
          <w:ilvl w:val="0"/>
          <w:numId w:val="1"/>
        </w:numPr>
        <w:spacing w:line="360" w:lineRule="auto"/>
        <w:ind w:left="368" w:hanging="426"/>
        <w:jc w:val="both"/>
        <w:rPr>
          <w:rFonts w:ascii="David" w:hAnsi="David" w:cs="David"/>
          <w:sz w:val="24"/>
          <w:szCs w:val="24"/>
        </w:rPr>
      </w:pPr>
      <w:r>
        <w:rPr>
          <w:rFonts w:ascii="David" w:hAnsi="David" w:cs="David"/>
          <w:sz w:val="24"/>
          <w:szCs w:val="24"/>
          <w:rtl/>
        </w:rPr>
        <w:t xml:space="preserve"> </w:t>
      </w:r>
      <w:r>
        <w:rPr>
          <w:rFonts w:ascii="David" w:hAnsi="David" w:cs="David" w:hint="cs"/>
          <w:sz w:val="24"/>
          <w:szCs w:val="24"/>
          <w:rtl/>
        </w:rPr>
        <w:t xml:space="preserve">גם אם בית המשפט יקבל את טענת התובע לפיה לא הבין מהו פירוק שיתוף, אין מקום לקבל את הטענה כי התובע לא הבין כי מדובר במכירת הבית, עם הדגש על המילה </w:t>
      </w:r>
      <w:r>
        <w:rPr>
          <w:rFonts w:ascii="David" w:hAnsi="David" w:cs="David" w:hint="cs"/>
          <w:b/>
          <w:bCs/>
          <w:sz w:val="24"/>
          <w:szCs w:val="24"/>
          <w:rtl/>
        </w:rPr>
        <w:t>מכירה</w:t>
      </w:r>
      <w:r>
        <w:rPr>
          <w:rFonts w:ascii="David" w:hAnsi="David" w:cs="David" w:hint="cs"/>
          <w:sz w:val="24"/>
          <w:szCs w:val="24"/>
          <w:rtl/>
        </w:rPr>
        <w:t>. ומדוע? הנתבעת אמרה בדיון שאם זה מה שצריך הצדדים ימכרו את הבית (</w:t>
      </w:r>
      <w:r w:rsidR="00C9489C">
        <w:rPr>
          <w:rFonts w:ascii="David" w:hAnsi="David" w:cs="David" w:hint="cs"/>
          <w:sz w:val="24"/>
          <w:szCs w:val="24"/>
          <w:rtl/>
        </w:rPr>
        <w:t xml:space="preserve">ראו: </w:t>
      </w:r>
      <w:r>
        <w:rPr>
          <w:rFonts w:ascii="David" w:hAnsi="David" w:cs="David" w:hint="cs"/>
          <w:sz w:val="24"/>
          <w:szCs w:val="24"/>
          <w:rtl/>
        </w:rPr>
        <w:t>עמוד 5 שורות 20-24 לפרוטוקול מיום 15.5.2022), והתובע אמר במפורש שאינו רוצה למכור את הבית, שהוא אוהב אותו (</w:t>
      </w:r>
      <w:r w:rsidR="00C9489C">
        <w:rPr>
          <w:rFonts w:ascii="David" w:hAnsi="David" w:cs="David" w:hint="cs"/>
          <w:sz w:val="24"/>
          <w:szCs w:val="24"/>
          <w:rtl/>
        </w:rPr>
        <w:t xml:space="preserve">ראו: </w:t>
      </w:r>
      <w:r>
        <w:rPr>
          <w:rFonts w:ascii="David" w:hAnsi="David" w:cs="David" w:hint="cs"/>
          <w:sz w:val="24"/>
          <w:szCs w:val="24"/>
          <w:rtl/>
        </w:rPr>
        <w:t>עמוד 5 שורה 24 לפרוטוקול מיום 15.5.2022), כלומר כל הטענה שהתובע לא הבין כי הדיון עוסק גם במכירת הבית אינה יכולה להיות נכונה.</w:t>
      </w:r>
    </w:p>
    <w:p w:rsidR="00970FD9" w:rsidRDefault="00970FD9" w:rsidP="00970FD9">
      <w:pPr>
        <w:pStyle w:val="ad"/>
        <w:rPr>
          <w:rFonts w:ascii="David" w:hAnsi="David" w:cs="David"/>
          <w:sz w:val="24"/>
          <w:szCs w:val="24"/>
        </w:rPr>
      </w:pPr>
    </w:p>
    <w:p w:rsidR="003B422F" w:rsidRDefault="00970FD9" w:rsidP="003B422F">
      <w:pPr>
        <w:pStyle w:val="ad"/>
        <w:numPr>
          <w:ilvl w:val="0"/>
          <w:numId w:val="1"/>
        </w:numPr>
        <w:spacing w:line="360" w:lineRule="auto"/>
        <w:ind w:left="368" w:hanging="426"/>
        <w:jc w:val="both"/>
        <w:rPr>
          <w:rFonts w:ascii="David" w:hAnsi="David" w:cs="David"/>
          <w:sz w:val="24"/>
          <w:szCs w:val="24"/>
        </w:rPr>
      </w:pPr>
      <w:r>
        <w:rPr>
          <w:rFonts w:ascii="David" w:hAnsi="David" w:cs="David"/>
          <w:sz w:val="24"/>
          <w:szCs w:val="24"/>
          <w:rtl/>
        </w:rPr>
        <w:t>התובע נשאל על כך בחקירתו, בתחילה העיד התובע כי הבין שמדובר במכירת בית המגורים (</w:t>
      </w:r>
      <w:r w:rsidR="00C9489C">
        <w:rPr>
          <w:rFonts w:ascii="David" w:hAnsi="David" w:cs="David" w:hint="cs"/>
          <w:sz w:val="24"/>
          <w:szCs w:val="24"/>
          <w:rtl/>
        </w:rPr>
        <w:t xml:space="preserve">ראו: </w:t>
      </w:r>
      <w:r>
        <w:rPr>
          <w:rFonts w:ascii="David" w:hAnsi="David" w:cs="David"/>
          <w:sz w:val="24"/>
          <w:szCs w:val="24"/>
          <w:rtl/>
        </w:rPr>
        <w:t>פרוטוקול דיון מיום 11.9.24 עמוד 44 שורות 17-19). בהמשך העיד כי "פירוק שיתוף" זה משפט אחר ממכירת הבית ולא הבין שהמשמעות של פירוק שיתוף הינה מכירה (</w:t>
      </w:r>
      <w:r w:rsidR="00C9489C">
        <w:rPr>
          <w:rFonts w:ascii="David" w:hAnsi="David" w:cs="David" w:hint="cs"/>
          <w:sz w:val="24"/>
          <w:szCs w:val="24"/>
          <w:rtl/>
        </w:rPr>
        <w:t xml:space="preserve">ראו: </w:t>
      </w:r>
      <w:r>
        <w:rPr>
          <w:rFonts w:ascii="David" w:hAnsi="David" w:cs="David"/>
          <w:sz w:val="24"/>
          <w:szCs w:val="24"/>
          <w:rtl/>
        </w:rPr>
        <w:t>פרוטוקול דיון מיום 11.9.24 עמוד 60 שורות 21-22). אשר על כן</w:t>
      </w:r>
      <w:r w:rsidR="0087493D">
        <w:rPr>
          <w:rFonts w:ascii="David" w:hAnsi="David" w:cs="David" w:hint="cs"/>
          <w:sz w:val="24"/>
          <w:szCs w:val="24"/>
          <w:rtl/>
        </w:rPr>
        <w:t>,</w:t>
      </w:r>
      <w:r>
        <w:rPr>
          <w:rFonts w:ascii="David" w:hAnsi="David" w:cs="David"/>
          <w:sz w:val="24"/>
          <w:szCs w:val="24"/>
          <w:rtl/>
        </w:rPr>
        <w:t xml:space="preserve"> הופנה התובע בחקירתו לשורה 33 בעמוד 5 לפרוטוקול אישור ההסכם מיום 15.5.2022, תחת הסכמות הצדדים, שם כתוב שב"כ הצדדים ישוחחו ביניהם על מנת לקדם את מכירת בית המגורים וככל שלא תהא התקדמות בתוך 30 ימים תוגש בקשה למינוי ב"כ הצדדים ככונסי נכסים (</w:t>
      </w:r>
      <w:r w:rsidR="00C9489C">
        <w:rPr>
          <w:rFonts w:ascii="David" w:hAnsi="David" w:cs="David" w:hint="cs"/>
          <w:sz w:val="24"/>
          <w:szCs w:val="24"/>
          <w:rtl/>
        </w:rPr>
        <w:t xml:space="preserve">ראו </w:t>
      </w:r>
      <w:r>
        <w:rPr>
          <w:rFonts w:ascii="David" w:hAnsi="David" w:cs="David"/>
          <w:sz w:val="24"/>
          <w:szCs w:val="24"/>
          <w:rtl/>
        </w:rPr>
        <w:t>עמוד 6 שורות 1-2) ונשאל איך הסכמה זו עולה בקנה אחד עם תשובתו כאילו לא הבין את המילה מכירה, ותשובתו היתה מתחמקת, לא משכנעת ואף לא הגיונית, כאילו הבין שפירוק השיתוף הינו ההפרדה בשל צו ההגנה (</w:t>
      </w:r>
      <w:r w:rsidR="00C9489C">
        <w:rPr>
          <w:rFonts w:ascii="David" w:hAnsi="David" w:cs="David" w:hint="cs"/>
          <w:sz w:val="24"/>
          <w:szCs w:val="24"/>
          <w:rtl/>
        </w:rPr>
        <w:t xml:space="preserve">ראו: </w:t>
      </w:r>
      <w:r>
        <w:rPr>
          <w:rFonts w:ascii="David" w:hAnsi="David" w:cs="David"/>
          <w:sz w:val="24"/>
          <w:szCs w:val="24"/>
          <w:rtl/>
        </w:rPr>
        <w:t xml:space="preserve">פרוטוקול דיון מיום 11.9.24 עמוד 44 שורות 33-36). </w:t>
      </w:r>
    </w:p>
    <w:p w:rsidR="003B422F" w:rsidRPr="003B422F" w:rsidRDefault="003B422F" w:rsidP="003B422F">
      <w:pPr>
        <w:pStyle w:val="ad"/>
        <w:rPr>
          <w:rFonts w:ascii="David" w:hAnsi="David" w:cs="David"/>
          <w:sz w:val="24"/>
          <w:szCs w:val="24"/>
          <w:rtl/>
        </w:rPr>
      </w:pPr>
    </w:p>
    <w:p w:rsidR="003B422F" w:rsidRPr="003B422F" w:rsidRDefault="003B422F" w:rsidP="003B422F">
      <w:pPr>
        <w:pStyle w:val="ad"/>
        <w:numPr>
          <w:ilvl w:val="0"/>
          <w:numId w:val="1"/>
        </w:numPr>
        <w:spacing w:line="360" w:lineRule="auto"/>
        <w:ind w:left="368" w:hanging="426"/>
        <w:jc w:val="both"/>
        <w:rPr>
          <w:rFonts w:ascii="David" w:hAnsi="David" w:cs="David"/>
          <w:sz w:val="24"/>
          <w:szCs w:val="24"/>
          <w:rtl/>
        </w:rPr>
      </w:pPr>
      <w:r w:rsidRPr="003B422F">
        <w:rPr>
          <w:rFonts w:ascii="David" w:hAnsi="David" w:cs="David"/>
          <w:sz w:val="24"/>
          <w:szCs w:val="24"/>
          <w:rtl/>
        </w:rPr>
        <w:t>הנתבעת בכתבי הטענות וגם בסיכומים העלתה טענה נוספת, שיש בה לשיטתה, להוכיח כי התובע הבין היטב את משמעות פסק הדין ואת משמעות המושג פירוק שיתוף</w:t>
      </w:r>
      <w:r w:rsidRPr="003B422F">
        <w:rPr>
          <w:rFonts w:ascii="David" w:hAnsi="David" w:cs="David" w:hint="cs"/>
          <w:sz w:val="24"/>
          <w:szCs w:val="24"/>
          <w:rtl/>
        </w:rPr>
        <w:t xml:space="preserve">, והפנתה לדברי </w:t>
      </w:r>
      <w:r w:rsidRPr="003B422F">
        <w:rPr>
          <w:rFonts w:ascii="David" w:hAnsi="David" w:cs="David"/>
          <w:sz w:val="24"/>
          <w:szCs w:val="24"/>
          <w:rtl/>
        </w:rPr>
        <w:t>התובע, בדיון שהתקיים בצו ההגנה, ביום 15.5.2022</w:t>
      </w:r>
      <w:r w:rsidRPr="003B422F">
        <w:rPr>
          <w:rFonts w:ascii="David" w:hAnsi="David" w:cs="David" w:hint="cs"/>
          <w:sz w:val="24"/>
          <w:szCs w:val="24"/>
          <w:rtl/>
        </w:rPr>
        <w:t xml:space="preserve">, בו </w:t>
      </w:r>
      <w:r w:rsidRPr="003B422F">
        <w:rPr>
          <w:rFonts w:ascii="David" w:hAnsi="David" w:cs="David"/>
          <w:sz w:val="24"/>
          <w:szCs w:val="24"/>
          <w:rtl/>
        </w:rPr>
        <w:t>העלה הצעה מטעמו "</w:t>
      </w:r>
      <w:r w:rsidRPr="003B422F">
        <w:rPr>
          <w:rFonts w:ascii="David" w:hAnsi="David" w:cs="David"/>
          <w:b/>
          <w:bCs/>
          <w:sz w:val="24"/>
          <w:szCs w:val="24"/>
          <w:rtl/>
        </w:rPr>
        <w:t>אני הצעתי שנעשה חלוקה בתוך הבית. הצעתי את זה מספר פעמים. אפשר להפריד פיזית את הבית לשניים</w:t>
      </w:r>
      <w:r w:rsidRPr="003B422F">
        <w:rPr>
          <w:rFonts w:ascii="David" w:hAnsi="David" w:cs="David"/>
          <w:sz w:val="24"/>
          <w:szCs w:val="24"/>
          <w:rtl/>
        </w:rPr>
        <w:t>" (עמוד 4 שורות 5-6)</w:t>
      </w:r>
      <w:r w:rsidRPr="003B422F">
        <w:rPr>
          <w:rFonts w:ascii="David" w:hAnsi="David" w:cs="David" w:hint="cs"/>
          <w:sz w:val="24"/>
          <w:szCs w:val="24"/>
          <w:rtl/>
        </w:rPr>
        <w:t xml:space="preserve">. לשיטתה של הנתבעת </w:t>
      </w:r>
      <w:r w:rsidRPr="003B422F">
        <w:rPr>
          <w:rFonts w:ascii="David" w:hAnsi="David" w:cs="David"/>
          <w:sz w:val="24"/>
          <w:szCs w:val="24"/>
          <w:rtl/>
        </w:rPr>
        <w:t xml:space="preserve">די בכך בכדי להעיד כי </w:t>
      </w:r>
      <w:r w:rsidRPr="003B422F">
        <w:rPr>
          <w:rFonts w:ascii="David" w:hAnsi="David" w:cs="David" w:hint="cs"/>
          <w:sz w:val="24"/>
          <w:szCs w:val="24"/>
          <w:rtl/>
        </w:rPr>
        <w:t>התובע</w:t>
      </w:r>
      <w:r w:rsidRPr="003B422F">
        <w:rPr>
          <w:rFonts w:ascii="David" w:hAnsi="David" w:cs="David"/>
          <w:sz w:val="24"/>
          <w:szCs w:val="24"/>
          <w:rtl/>
        </w:rPr>
        <w:t xml:space="preserve"> הבין היטב כי מדובר בפירוק שיתוף, קרי במכירת הבית. התובע הבהיר את עמדתו בענין זה, כאשר לשיטתו הכוונה היתה </w:t>
      </w:r>
      <w:r>
        <w:rPr>
          <w:rFonts w:ascii="David" w:hAnsi="David" w:cs="David" w:hint="cs"/>
          <w:sz w:val="24"/>
          <w:szCs w:val="24"/>
          <w:rtl/>
        </w:rPr>
        <w:t xml:space="preserve">לחלוקה </w:t>
      </w:r>
      <w:r w:rsidRPr="003B422F">
        <w:rPr>
          <w:rFonts w:ascii="David" w:hAnsi="David" w:cs="David"/>
          <w:sz w:val="24"/>
          <w:szCs w:val="24"/>
          <w:rtl/>
        </w:rPr>
        <w:t xml:space="preserve">רק בעת מגוריהם יחדיו. מאחר ובית המשפט </w:t>
      </w:r>
      <w:r>
        <w:rPr>
          <w:rFonts w:ascii="David" w:hAnsi="David" w:cs="David" w:hint="cs"/>
          <w:sz w:val="24"/>
          <w:szCs w:val="24"/>
          <w:rtl/>
        </w:rPr>
        <w:t xml:space="preserve">הגיע </w:t>
      </w:r>
      <w:r w:rsidRPr="003B422F">
        <w:rPr>
          <w:rFonts w:ascii="David" w:hAnsi="David" w:cs="David"/>
          <w:sz w:val="24"/>
          <w:szCs w:val="24"/>
          <w:rtl/>
        </w:rPr>
        <w:t>למסקנה כי דין התביעה להידחות, גם ללא התייחסות לטענה זו, לא ניתן משקל בפסק הדין ל</w:t>
      </w:r>
      <w:r w:rsidRPr="003B422F">
        <w:rPr>
          <w:rFonts w:ascii="David" w:hAnsi="David" w:cs="David" w:hint="cs"/>
          <w:sz w:val="24"/>
          <w:szCs w:val="24"/>
          <w:rtl/>
        </w:rPr>
        <w:t>ד</w:t>
      </w:r>
      <w:r w:rsidRPr="003B422F">
        <w:rPr>
          <w:rFonts w:ascii="David" w:hAnsi="David" w:cs="David"/>
          <w:sz w:val="24"/>
          <w:szCs w:val="24"/>
          <w:rtl/>
        </w:rPr>
        <w:t>ברי מי מהצדדים בקשר לטענה זו.</w:t>
      </w:r>
    </w:p>
    <w:p w:rsidR="00970FD9" w:rsidRDefault="00970FD9" w:rsidP="00B42BE2">
      <w:pPr>
        <w:spacing w:line="360" w:lineRule="auto"/>
        <w:jc w:val="both"/>
        <w:rPr>
          <w:rFonts w:ascii="David" w:hAnsi="David"/>
          <w:rtl/>
        </w:rPr>
      </w:pPr>
      <w:r>
        <w:rPr>
          <w:rFonts w:ascii="David" w:hAnsi="David"/>
          <w:b/>
          <w:bCs/>
          <w:u w:val="single"/>
          <w:rtl/>
        </w:rPr>
        <w:t>התובע לא הצליח להוכיח כי לא נתן את הסכמתו לאמור בפרוטוקול</w:t>
      </w:r>
      <w:r>
        <w:rPr>
          <w:rFonts w:ascii="David" w:hAnsi="David"/>
          <w:rtl/>
        </w:rPr>
        <w:t xml:space="preserve">  </w:t>
      </w:r>
    </w:p>
    <w:p w:rsidR="00970FD9" w:rsidRDefault="00970FD9" w:rsidP="005934ED">
      <w:pPr>
        <w:pStyle w:val="ad"/>
        <w:spacing w:line="240" w:lineRule="auto"/>
        <w:rPr>
          <w:rFonts w:ascii="David" w:hAnsi="David" w:cs="David"/>
          <w:sz w:val="24"/>
          <w:szCs w:val="24"/>
        </w:rPr>
      </w:pPr>
    </w:p>
    <w:p w:rsidR="00970FD9" w:rsidRPr="00B42BE2" w:rsidRDefault="00970FD9" w:rsidP="00B42BE2">
      <w:pPr>
        <w:pStyle w:val="ad"/>
        <w:numPr>
          <w:ilvl w:val="0"/>
          <w:numId w:val="1"/>
        </w:numPr>
        <w:spacing w:line="360" w:lineRule="auto"/>
        <w:ind w:left="368" w:hanging="426"/>
        <w:jc w:val="both"/>
        <w:rPr>
          <w:rFonts w:ascii="David" w:hAnsi="David" w:cs="David"/>
          <w:sz w:val="24"/>
          <w:szCs w:val="24"/>
        </w:rPr>
      </w:pPr>
      <w:r>
        <w:rPr>
          <w:rFonts w:ascii="David" w:hAnsi="David" w:cs="David"/>
          <w:sz w:val="24"/>
          <w:szCs w:val="24"/>
          <w:rtl/>
        </w:rPr>
        <w:t xml:space="preserve">לטענת התובע לא נתן לעו"ד </w:t>
      </w:r>
      <w:r w:rsidR="00F37117">
        <w:rPr>
          <w:rFonts w:ascii="David" w:hAnsi="David" w:cs="David"/>
          <w:sz w:val="24"/>
          <w:szCs w:val="24"/>
          <w:rtl/>
        </w:rPr>
        <w:t>ב' ז'</w:t>
      </w:r>
      <w:r>
        <w:rPr>
          <w:rFonts w:ascii="David" w:hAnsi="David" w:cs="David"/>
          <w:sz w:val="24"/>
          <w:szCs w:val="24"/>
          <w:rtl/>
        </w:rPr>
        <w:t xml:space="preserve"> את הסכמתו, לאמור בהסכמות שקיבלו תוקף של פסק דין. טענה זו של התובע לא עולה בקנה אחד עם התנהלותו במהלך הדיון, אותה ניתן ללמוד מפרוטוקול הדיון</w:t>
      </w:r>
      <w:r w:rsidR="004F4B1E">
        <w:rPr>
          <w:rFonts w:ascii="David" w:hAnsi="David" w:cs="David" w:hint="cs"/>
          <w:sz w:val="24"/>
          <w:szCs w:val="24"/>
          <w:rtl/>
        </w:rPr>
        <w:t xml:space="preserve"> עצמו</w:t>
      </w:r>
      <w:r>
        <w:rPr>
          <w:rFonts w:ascii="David" w:hAnsi="David" w:cs="David"/>
          <w:sz w:val="24"/>
          <w:szCs w:val="24"/>
          <w:rtl/>
        </w:rPr>
        <w:t>.</w:t>
      </w:r>
      <w:r w:rsidR="00B42BE2">
        <w:rPr>
          <w:rFonts w:ascii="David" w:hAnsi="David" w:cs="David" w:hint="cs"/>
          <w:sz w:val="24"/>
          <w:szCs w:val="24"/>
          <w:rtl/>
        </w:rPr>
        <w:t xml:space="preserve"> </w:t>
      </w:r>
      <w:r w:rsidR="00735576" w:rsidRPr="00B42BE2">
        <w:rPr>
          <w:rFonts w:ascii="David" w:hAnsi="David" w:cs="David" w:hint="cs"/>
          <w:sz w:val="24"/>
          <w:szCs w:val="24"/>
          <w:rtl/>
        </w:rPr>
        <w:t xml:space="preserve">כך למשל </w:t>
      </w:r>
      <w:r w:rsidRPr="00B42BE2">
        <w:rPr>
          <w:rFonts w:ascii="David" w:hAnsi="David" w:cs="David"/>
          <w:sz w:val="24"/>
          <w:szCs w:val="24"/>
          <w:rtl/>
        </w:rPr>
        <w:t xml:space="preserve">קריאת עמוד 5 לפרוטוקול מיום 15.5.2022 מעידה כי מדובר </w:t>
      </w:r>
      <w:r w:rsidRPr="00B42BE2">
        <w:rPr>
          <w:rFonts w:ascii="David" w:hAnsi="David" w:cs="David"/>
          <w:b/>
          <w:bCs/>
          <w:sz w:val="24"/>
          <w:szCs w:val="24"/>
          <w:rtl/>
        </w:rPr>
        <w:t>בהסכמות שנתנו הצדדים עצמם</w:t>
      </w:r>
      <w:r w:rsidRPr="00B42BE2">
        <w:rPr>
          <w:rFonts w:ascii="David" w:hAnsi="David" w:cs="David"/>
          <w:sz w:val="24"/>
          <w:szCs w:val="24"/>
          <w:rtl/>
        </w:rPr>
        <w:t xml:space="preserve"> ולא באי כוחם (שורות 32-36). </w:t>
      </w:r>
    </w:p>
    <w:p w:rsidR="000B479B" w:rsidRPr="000B479B" w:rsidRDefault="000B479B" w:rsidP="000B479B">
      <w:pPr>
        <w:pStyle w:val="ad"/>
        <w:rPr>
          <w:rFonts w:ascii="David" w:hAnsi="David" w:cs="David"/>
          <w:sz w:val="24"/>
          <w:szCs w:val="24"/>
          <w:rtl/>
        </w:rPr>
      </w:pPr>
    </w:p>
    <w:p w:rsidR="00970FD9" w:rsidRDefault="00970FD9" w:rsidP="00843726">
      <w:pPr>
        <w:pStyle w:val="ad"/>
        <w:numPr>
          <w:ilvl w:val="0"/>
          <w:numId w:val="1"/>
        </w:numPr>
        <w:spacing w:line="360" w:lineRule="auto"/>
        <w:ind w:left="368" w:hanging="426"/>
        <w:jc w:val="both"/>
        <w:rPr>
          <w:rFonts w:ascii="David" w:hAnsi="David" w:cs="David"/>
          <w:sz w:val="24"/>
          <w:szCs w:val="24"/>
          <w:rtl/>
        </w:rPr>
      </w:pPr>
      <w:r>
        <w:rPr>
          <w:rFonts w:ascii="David" w:hAnsi="David" w:cs="David"/>
          <w:sz w:val="24"/>
          <w:szCs w:val="24"/>
          <w:rtl/>
        </w:rPr>
        <w:lastRenderedPageBreak/>
        <w:t xml:space="preserve">התובע ניסה לבסס טענה זו בטענה נוספת, לפיה הבין את משמעות ההסכמה רק מאוחר יותר, </w:t>
      </w:r>
      <w:r w:rsidR="00843726">
        <w:rPr>
          <w:rFonts w:ascii="David" w:hAnsi="David" w:cs="David" w:hint="cs"/>
          <w:sz w:val="24"/>
          <w:szCs w:val="24"/>
          <w:rtl/>
        </w:rPr>
        <w:t xml:space="preserve"> </w:t>
      </w:r>
      <w:r>
        <w:rPr>
          <w:rFonts w:ascii="David" w:hAnsi="David" w:cs="David"/>
          <w:sz w:val="24"/>
          <w:szCs w:val="24"/>
          <w:rtl/>
        </w:rPr>
        <w:t xml:space="preserve">אולם גם טענה זו לא הוכחה, כי אם הופרכה – </w:t>
      </w:r>
      <w:r w:rsidRPr="0087493D">
        <w:rPr>
          <w:rFonts w:ascii="David" w:hAnsi="David" w:cs="David"/>
          <w:sz w:val="24"/>
          <w:szCs w:val="24"/>
          <w:rtl/>
        </w:rPr>
        <w:t xml:space="preserve">ראה סעיף </w:t>
      </w:r>
      <w:r w:rsidR="00843726" w:rsidRPr="0087493D">
        <w:rPr>
          <w:rFonts w:ascii="David" w:hAnsi="David" w:cs="David" w:hint="cs"/>
          <w:sz w:val="24"/>
          <w:szCs w:val="24"/>
          <w:rtl/>
        </w:rPr>
        <w:t>48</w:t>
      </w:r>
      <w:r w:rsidRPr="0087493D">
        <w:rPr>
          <w:rFonts w:ascii="David" w:hAnsi="David" w:cs="David"/>
          <w:sz w:val="24"/>
          <w:szCs w:val="24"/>
          <w:rtl/>
        </w:rPr>
        <w:t xml:space="preserve"> לעיל</w:t>
      </w:r>
      <w:r>
        <w:rPr>
          <w:rFonts w:ascii="David" w:hAnsi="David" w:cs="David"/>
          <w:sz w:val="24"/>
          <w:szCs w:val="24"/>
          <w:rtl/>
        </w:rPr>
        <w:t>.</w:t>
      </w:r>
    </w:p>
    <w:p w:rsidR="00970FD9" w:rsidRDefault="00970FD9" w:rsidP="00970FD9">
      <w:pPr>
        <w:pStyle w:val="ad"/>
        <w:rPr>
          <w:rFonts w:ascii="David" w:hAnsi="David" w:cs="David"/>
          <w:sz w:val="24"/>
          <w:szCs w:val="24"/>
        </w:rPr>
      </w:pPr>
    </w:p>
    <w:p w:rsidR="00970FD9" w:rsidRDefault="00970FD9" w:rsidP="004F4B1E">
      <w:pPr>
        <w:pStyle w:val="ad"/>
        <w:numPr>
          <w:ilvl w:val="0"/>
          <w:numId w:val="1"/>
        </w:numPr>
        <w:spacing w:line="360" w:lineRule="auto"/>
        <w:ind w:left="368" w:hanging="426"/>
        <w:jc w:val="both"/>
        <w:rPr>
          <w:rFonts w:ascii="David" w:hAnsi="David" w:cs="David"/>
          <w:sz w:val="24"/>
          <w:szCs w:val="24"/>
          <w:rtl/>
        </w:rPr>
      </w:pPr>
      <w:r>
        <w:rPr>
          <w:rFonts w:ascii="David" w:hAnsi="David" w:cs="David"/>
          <w:sz w:val="24"/>
          <w:szCs w:val="24"/>
          <w:rtl/>
        </w:rPr>
        <w:t xml:space="preserve">גם עדותו של עו"ד </w:t>
      </w:r>
      <w:r w:rsidR="00F37117">
        <w:rPr>
          <w:rFonts w:ascii="David" w:hAnsi="David" w:cs="David"/>
          <w:sz w:val="24"/>
          <w:szCs w:val="24"/>
          <w:rtl/>
        </w:rPr>
        <w:t>ב' ז'</w:t>
      </w:r>
      <w:r>
        <w:rPr>
          <w:rFonts w:ascii="David" w:hAnsi="David" w:cs="David"/>
          <w:sz w:val="24"/>
          <w:szCs w:val="24"/>
          <w:rtl/>
        </w:rPr>
        <w:t xml:space="preserve"> אינה תומכת בטענה זו של התובע. עו"ד </w:t>
      </w:r>
      <w:r w:rsidR="00F37117">
        <w:rPr>
          <w:rFonts w:ascii="David" w:hAnsi="David" w:cs="David"/>
          <w:sz w:val="24"/>
          <w:szCs w:val="24"/>
          <w:rtl/>
        </w:rPr>
        <w:t>ב' ז'</w:t>
      </w:r>
      <w:r>
        <w:rPr>
          <w:rFonts w:ascii="David" w:hAnsi="David" w:cs="David"/>
          <w:sz w:val="24"/>
          <w:szCs w:val="24"/>
          <w:rtl/>
        </w:rPr>
        <w:t xml:space="preserve"> העיד כי זוכר בעל דין מאוד מעורב (</w:t>
      </w:r>
      <w:r w:rsidR="008A74E5">
        <w:rPr>
          <w:rFonts w:ascii="David" w:hAnsi="David" w:cs="David" w:hint="cs"/>
          <w:sz w:val="24"/>
          <w:szCs w:val="24"/>
          <w:rtl/>
        </w:rPr>
        <w:t xml:space="preserve">ראו: </w:t>
      </w:r>
      <w:r>
        <w:rPr>
          <w:rFonts w:ascii="David" w:hAnsi="David" w:cs="David"/>
          <w:sz w:val="24"/>
          <w:szCs w:val="24"/>
          <w:rtl/>
        </w:rPr>
        <w:t xml:space="preserve">פרוטוקול דיון מיום 11.9.24 עמוד 23 שורה 17), </w:t>
      </w:r>
      <w:r w:rsidR="00B42BE2">
        <w:rPr>
          <w:rFonts w:ascii="David" w:hAnsi="David" w:cs="David" w:hint="cs"/>
          <w:sz w:val="24"/>
          <w:szCs w:val="24"/>
          <w:rtl/>
        </w:rPr>
        <w:t>כי פסק הדין ניתן ב</w:t>
      </w:r>
      <w:r>
        <w:rPr>
          <w:rFonts w:ascii="David" w:hAnsi="David" w:cs="David"/>
          <w:sz w:val="24"/>
          <w:szCs w:val="24"/>
          <w:rtl/>
        </w:rPr>
        <w:t>אולם מאוד קטן, בו ישבו זה לצד זה ודיברו במהלך הדיון (</w:t>
      </w:r>
      <w:r w:rsidR="008A74E5">
        <w:rPr>
          <w:rFonts w:ascii="David" w:hAnsi="David" w:cs="David" w:hint="cs"/>
          <w:sz w:val="24"/>
          <w:szCs w:val="24"/>
          <w:rtl/>
        </w:rPr>
        <w:t xml:space="preserve">ראו: </w:t>
      </w:r>
      <w:r>
        <w:rPr>
          <w:rFonts w:ascii="David" w:hAnsi="David" w:cs="David"/>
          <w:sz w:val="24"/>
          <w:szCs w:val="24"/>
          <w:rtl/>
        </w:rPr>
        <w:t xml:space="preserve">פרוטוקול דיון מיום 11.9.24 עמוד 23 שורות 23-24), ועל אף שלא זכר בדיוק על מה דיבר עם התובע, העיד עו"ד </w:t>
      </w:r>
      <w:r w:rsidR="00F37117">
        <w:rPr>
          <w:rFonts w:ascii="David" w:hAnsi="David" w:cs="David"/>
          <w:sz w:val="24"/>
          <w:szCs w:val="24"/>
          <w:rtl/>
        </w:rPr>
        <w:t>ב' ז'</w:t>
      </w:r>
      <w:r>
        <w:rPr>
          <w:rFonts w:ascii="David" w:hAnsi="David" w:cs="David"/>
          <w:sz w:val="24"/>
          <w:szCs w:val="24"/>
          <w:rtl/>
        </w:rPr>
        <w:t xml:space="preserve"> כי בכל שנות עבודתו כעורך דין (32 שנים) "</w:t>
      </w:r>
      <w:r w:rsidRPr="008A74E5">
        <w:rPr>
          <w:rFonts w:ascii="David" w:hAnsi="David" w:cs="David"/>
          <w:b/>
          <w:bCs/>
          <w:sz w:val="24"/>
          <w:szCs w:val="24"/>
          <w:rtl/>
        </w:rPr>
        <w:t>מעולם לא הקראתי לבית המשפט הסכמות בניגוד לרצון הלקוח שלי</w:t>
      </w:r>
      <w:r>
        <w:rPr>
          <w:rFonts w:ascii="David" w:hAnsi="David" w:cs="David"/>
          <w:sz w:val="24"/>
          <w:szCs w:val="24"/>
          <w:rtl/>
        </w:rPr>
        <w:t>" (</w:t>
      </w:r>
      <w:r w:rsidR="008A74E5">
        <w:rPr>
          <w:rFonts w:ascii="David" w:hAnsi="David" w:cs="David" w:hint="cs"/>
          <w:sz w:val="24"/>
          <w:szCs w:val="24"/>
          <w:rtl/>
        </w:rPr>
        <w:t xml:space="preserve">ראו: </w:t>
      </w:r>
      <w:r>
        <w:rPr>
          <w:rFonts w:ascii="David" w:hAnsi="David" w:cs="David"/>
          <w:sz w:val="24"/>
          <w:szCs w:val="24"/>
          <w:rtl/>
        </w:rPr>
        <w:t xml:space="preserve">פרוטוקול דיון מיום 11.9.24 עמוד 23 שורות 31-36, עמוד 24 שורות 1-7). עו"ד </w:t>
      </w:r>
      <w:r w:rsidR="00F37117">
        <w:rPr>
          <w:rFonts w:ascii="David" w:hAnsi="David" w:cs="David"/>
          <w:sz w:val="24"/>
          <w:szCs w:val="24"/>
          <w:rtl/>
        </w:rPr>
        <w:t>ב' ז'</w:t>
      </w:r>
      <w:r>
        <w:rPr>
          <w:rFonts w:ascii="David" w:hAnsi="David" w:cs="David"/>
          <w:sz w:val="24"/>
          <w:szCs w:val="24"/>
          <w:rtl/>
        </w:rPr>
        <w:t xml:space="preserve"> אף הוסיף כי זוכר שבסוף הדיון התובע בא וחיבק אותו ואמר לו תודה רבה תוך שהביע שביעות רצון גדולה (</w:t>
      </w:r>
      <w:r w:rsidR="008A74E5">
        <w:rPr>
          <w:rFonts w:ascii="David" w:hAnsi="David" w:cs="David" w:hint="cs"/>
          <w:sz w:val="24"/>
          <w:szCs w:val="24"/>
          <w:rtl/>
        </w:rPr>
        <w:t xml:space="preserve">ראו: </w:t>
      </w:r>
      <w:r>
        <w:rPr>
          <w:rFonts w:ascii="David" w:hAnsi="David" w:cs="David"/>
          <w:sz w:val="24"/>
          <w:szCs w:val="24"/>
          <w:rtl/>
        </w:rPr>
        <w:t>פרוטוקול דיון מיום 11.9.24 עמוד 24 שורה 9, עמוד 25 שורות 16-18, עמוד 32 שורה 36 ועמוד 33 שורת 1-4).</w:t>
      </w:r>
      <w:r w:rsidR="004F4B1E">
        <w:rPr>
          <w:rFonts w:ascii="David" w:hAnsi="David" w:cs="David" w:hint="cs"/>
          <w:sz w:val="24"/>
          <w:szCs w:val="24"/>
          <w:rtl/>
        </w:rPr>
        <w:t xml:space="preserve"> בענין זה יאמר כי עדותו של עורך דין </w:t>
      </w:r>
      <w:r w:rsidR="006F10E5">
        <w:rPr>
          <w:rFonts w:ascii="David" w:hAnsi="David" w:cs="David" w:hint="cs"/>
          <w:sz w:val="24"/>
          <w:szCs w:val="24"/>
          <w:rtl/>
        </w:rPr>
        <w:t xml:space="preserve">ב' </w:t>
      </w:r>
      <w:r w:rsidR="00F37117">
        <w:rPr>
          <w:rFonts w:ascii="David" w:hAnsi="David" w:cs="David" w:hint="cs"/>
          <w:sz w:val="24"/>
          <w:szCs w:val="24"/>
          <w:rtl/>
        </w:rPr>
        <w:t>ז</w:t>
      </w:r>
      <w:r w:rsidR="00F37117">
        <w:rPr>
          <w:rFonts w:ascii="David" w:hAnsi="David" w:cs="David"/>
          <w:sz w:val="24"/>
          <w:szCs w:val="24"/>
          <w:rtl/>
        </w:rPr>
        <w:t>'</w:t>
      </w:r>
      <w:r w:rsidR="004F4B1E">
        <w:rPr>
          <w:rFonts w:ascii="David" w:hAnsi="David" w:cs="David" w:hint="cs"/>
          <w:sz w:val="24"/>
          <w:szCs w:val="24"/>
          <w:rtl/>
        </w:rPr>
        <w:t xml:space="preserve"> היתה ברורה, חד ערכית, לא מתחמקת ונראתה כנה. </w:t>
      </w:r>
    </w:p>
    <w:p w:rsidR="00970FD9" w:rsidRDefault="00970FD9" w:rsidP="00970FD9">
      <w:pPr>
        <w:pStyle w:val="ad"/>
        <w:rPr>
          <w:rFonts w:ascii="David" w:hAnsi="David" w:cs="David"/>
          <w:sz w:val="24"/>
          <w:szCs w:val="24"/>
        </w:rPr>
      </w:pPr>
    </w:p>
    <w:p w:rsidR="00970FD9" w:rsidRDefault="00970FD9" w:rsidP="00843726">
      <w:pPr>
        <w:pStyle w:val="ad"/>
        <w:numPr>
          <w:ilvl w:val="0"/>
          <w:numId w:val="1"/>
        </w:numPr>
        <w:spacing w:line="360" w:lineRule="auto"/>
        <w:ind w:left="368" w:hanging="426"/>
        <w:jc w:val="both"/>
        <w:rPr>
          <w:rFonts w:ascii="David" w:hAnsi="David" w:cs="David"/>
          <w:sz w:val="24"/>
          <w:szCs w:val="24"/>
          <w:rtl/>
        </w:rPr>
      </w:pPr>
      <w:r>
        <w:rPr>
          <w:rFonts w:ascii="David" w:hAnsi="David" w:cs="David"/>
          <w:sz w:val="24"/>
          <w:szCs w:val="24"/>
          <w:rtl/>
        </w:rPr>
        <w:t>ו</w:t>
      </w:r>
      <w:r w:rsidR="00F147F1">
        <w:rPr>
          <w:rFonts w:ascii="David" w:hAnsi="David" w:cs="David"/>
          <w:sz w:val="24"/>
          <w:szCs w:val="24"/>
          <w:rtl/>
        </w:rPr>
        <w:t>אם לא די בכך</w:t>
      </w:r>
      <w:r w:rsidR="00F147F1">
        <w:rPr>
          <w:rFonts w:ascii="David" w:hAnsi="David" w:cs="David" w:hint="cs"/>
          <w:sz w:val="24"/>
          <w:szCs w:val="24"/>
          <w:rtl/>
        </w:rPr>
        <w:t>,</w:t>
      </w:r>
      <w:r>
        <w:rPr>
          <w:rFonts w:ascii="David" w:hAnsi="David" w:cs="David"/>
          <w:sz w:val="24"/>
          <w:szCs w:val="24"/>
          <w:rtl/>
        </w:rPr>
        <w:t xml:space="preserve"> יצוין כי במסגרת הדיון שהתקיים ביום 23.8.2022 אמר התובע כי בכלל לא ידע, אז, כשנתן את הסכמתו למכירת בית המגורים, כי בית המגורים רשום על שמו (עמוד 4 שורות 5-6). טענה זו גם עלתה על ידי התובע בכתב </w:t>
      </w:r>
      <w:r w:rsidR="00843726">
        <w:rPr>
          <w:rFonts w:ascii="David" w:hAnsi="David" w:cs="David" w:hint="cs"/>
          <w:sz w:val="24"/>
          <w:szCs w:val="24"/>
          <w:rtl/>
        </w:rPr>
        <w:t>תביעתו</w:t>
      </w:r>
      <w:r>
        <w:rPr>
          <w:rFonts w:ascii="David" w:hAnsi="David" w:cs="David"/>
          <w:sz w:val="24"/>
          <w:szCs w:val="24"/>
          <w:rtl/>
        </w:rPr>
        <w:t xml:space="preserve"> סעיפים 18-20. מבלי להיכנס לטענה זו, האם נכונה היא או לאו, ואם </w:t>
      </w:r>
      <w:r w:rsidR="00843726">
        <w:rPr>
          <w:rFonts w:ascii="David" w:hAnsi="David" w:cs="David" w:hint="cs"/>
          <w:sz w:val="24"/>
          <w:szCs w:val="24"/>
          <w:rtl/>
        </w:rPr>
        <w:t>נכונה היא</w:t>
      </w:r>
      <w:r>
        <w:rPr>
          <w:rFonts w:ascii="David" w:hAnsi="David" w:cs="David"/>
          <w:sz w:val="24"/>
          <w:szCs w:val="24"/>
          <w:rtl/>
        </w:rPr>
        <w:t xml:space="preserve"> מדוע התובע לא ידע נתון זה, עדותו זו של התובע וטענותיו מוכיחות באופן חד משמעי כי לא מדובר </w:t>
      </w:r>
      <w:r w:rsidRPr="00843726">
        <w:rPr>
          <w:rFonts w:ascii="David" w:hAnsi="David" w:cs="David"/>
          <w:sz w:val="24"/>
          <w:szCs w:val="24"/>
          <w:rtl/>
        </w:rPr>
        <w:t>באי הבנה כי אם באי ידיעה,</w:t>
      </w:r>
      <w:r>
        <w:rPr>
          <w:rFonts w:ascii="David" w:hAnsi="David" w:cs="David"/>
          <w:sz w:val="24"/>
          <w:szCs w:val="24"/>
          <w:rtl/>
        </w:rPr>
        <w:t xml:space="preserve"> ודי בכך בכדי להסיק כי לא אי ההבנה שמדובר במכירת בית המגורים, היא זו שגרמה לתובע להגיש תביעה נשוא פסק דין זה.</w:t>
      </w:r>
    </w:p>
    <w:p w:rsidR="00970FD9" w:rsidRDefault="00970FD9" w:rsidP="00970FD9">
      <w:pPr>
        <w:spacing w:line="360" w:lineRule="auto"/>
        <w:jc w:val="both"/>
        <w:rPr>
          <w:rFonts w:ascii="David" w:hAnsi="David"/>
          <w:rtl/>
        </w:rPr>
      </w:pPr>
      <w:r>
        <w:rPr>
          <w:rFonts w:ascii="David" w:hAnsi="David"/>
          <w:b/>
          <w:bCs/>
          <w:u w:val="single"/>
          <w:rtl/>
        </w:rPr>
        <w:t xml:space="preserve">התובע לא הצליח להסביר מדוע התעכב בהגשת כתב התביעה 5 חודשים </w:t>
      </w:r>
    </w:p>
    <w:p w:rsidR="00970FD9" w:rsidRDefault="00970FD9" w:rsidP="00970FD9">
      <w:pPr>
        <w:pStyle w:val="ad"/>
        <w:spacing w:line="240" w:lineRule="auto"/>
        <w:ind w:left="368"/>
        <w:jc w:val="both"/>
        <w:rPr>
          <w:rFonts w:ascii="David" w:hAnsi="David" w:cs="David"/>
          <w:sz w:val="24"/>
          <w:szCs w:val="24"/>
        </w:rPr>
      </w:pPr>
    </w:p>
    <w:p w:rsidR="00970FD9" w:rsidRDefault="00970FD9" w:rsidP="00970FD9">
      <w:pPr>
        <w:pStyle w:val="ad"/>
        <w:numPr>
          <w:ilvl w:val="0"/>
          <w:numId w:val="1"/>
        </w:numPr>
        <w:spacing w:line="360" w:lineRule="auto"/>
        <w:ind w:left="368" w:hanging="426"/>
        <w:jc w:val="both"/>
        <w:rPr>
          <w:rFonts w:ascii="David" w:hAnsi="David" w:cs="David"/>
          <w:sz w:val="24"/>
          <w:szCs w:val="24"/>
        </w:rPr>
      </w:pPr>
      <w:r>
        <w:rPr>
          <w:rFonts w:ascii="David" w:hAnsi="David" w:cs="David"/>
          <w:sz w:val="24"/>
          <w:szCs w:val="24"/>
          <w:rtl/>
        </w:rPr>
        <w:t>כל הסברי התובע,  כפי שיפורטו להלן, לא הבהירו מדוע התביעה דנן הוגשה במועד שהוגשה ולא קודם לכן, ובסמוך למתן פסק הדין. יתר על כן, מועד הגשת התביעה, כ- 5 חודשים לאחר מתן פסק הדין, מעלה חשד כי לאחר מספר חודשים התחרט התובע על ההסכמה שנתן, וחיפש עילה משפטית לבטלה. ובמה דברים אמורים?</w:t>
      </w:r>
    </w:p>
    <w:p w:rsidR="00970FD9" w:rsidRDefault="00970FD9" w:rsidP="00970FD9">
      <w:pPr>
        <w:pStyle w:val="ad"/>
        <w:rPr>
          <w:rFonts w:ascii="David" w:hAnsi="David" w:cs="David"/>
          <w:sz w:val="24"/>
          <w:szCs w:val="24"/>
        </w:rPr>
      </w:pPr>
    </w:p>
    <w:p w:rsidR="00970FD9" w:rsidRDefault="00970FD9" w:rsidP="00970FD9">
      <w:pPr>
        <w:pStyle w:val="ad"/>
        <w:numPr>
          <w:ilvl w:val="0"/>
          <w:numId w:val="2"/>
        </w:numPr>
        <w:spacing w:line="360" w:lineRule="auto"/>
        <w:jc w:val="both"/>
        <w:rPr>
          <w:rFonts w:ascii="David" w:hAnsi="David" w:cs="David"/>
          <w:sz w:val="24"/>
          <w:szCs w:val="24"/>
          <w:rtl/>
        </w:rPr>
      </w:pPr>
      <w:r>
        <w:rPr>
          <w:rFonts w:ascii="David" w:hAnsi="David" w:cs="David"/>
          <w:sz w:val="24"/>
          <w:szCs w:val="24"/>
          <w:rtl/>
        </w:rPr>
        <w:t xml:space="preserve">גם אם בית המשפט יקבל את טענות התובע כאילו לא הבין </w:t>
      </w:r>
      <w:r>
        <w:rPr>
          <w:rFonts w:ascii="David" w:hAnsi="David" w:cs="David"/>
          <w:b/>
          <w:bCs/>
          <w:sz w:val="24"/>
          <w:szCs w:val="24"/>
          <w:rtl/>
        </w:rPr>
        <w:t>בעת הדיון</w:t>
      </w:r>
      <w:r>
        <w:rPr>
          <w:rFonts w:ascii="David" w:hAnsi="David" w:cs="David"/>
          <w:sz w:val="24"/>
          <w:szCs w:val="24"/>
          <w:rtl/>
        </w:rPr>
        <w:t xml:space="preserve"> מה המשמעות של "פירוק שיתוף" התובע בעצמו טען כי עוד באותו ערב הדיון, 15.5.2022, התקשר לעו"ד </w:t>
      </w:r>
      <w:r w:rsidR="00F37117">
        <w:rPr>
          <w:rFonts w:ascii="David" w:hAnsi="David" w:cs="David"/>
          <w:sz w:val="24"/>
          <w:szCs w:val="24"/>
          <w:rtl/>
        </w:rPr>
        <w:t>ב' ז'</w:t>
      </w:r>
      <w:r>
        <w:rPr>
          <w:rFonts w:ascii="David" w:hAnsi="David" w:cs="David"/>
          <w:sz w:val="24"/>
          <w:szCs w:val="24"/>
          <w:rtl/>
        </w:rPr>
        <w:t xml:space="preserve"> ושאל אותו מה זה פירוק שיתוף וזה</w:t>
      </w:r>
      <w:r w:rsidR="00843726">
        <w:rPr>
          <w:rFonts w:ascii="David" w:hAnsi="David" w:cs="David" w:hint="cs"/>
          <w:sz w:val="24"/>
          <w:szCs w:val="24"/>
          <w:rtl/>
        </w:rPr>
        <w:t xml:space="preserve"> האחרון</w:t>
      </w:r>
      <w:r>
        <w:rPr>
          <w:rFonts w:ascii="David" w:hAnsi="David" w:cs="David"/>
          <w:sz w:val="24"/>
          <w:szCs w:val="24"/>
          <w:rtl/>
        </w:rPr>
        <w:t xml:space="preserve"> ענה לו "מוכרים את הבית"</w:t>
      </w:r>
      <w:r w:rsidRPr="00F147F1">
        <w:rPr>
          <w:rFonts w:ascii="David" w:hAnsi="David" w:cs="David"/>
          <w:sz w:val="24"/>
          <w:szCs w:val="24"/>
          <w:rtl/>
        </w:rPr>
        <w:t xml:space="preserve"> </w:t>
      </w:r>
      <w:r>
        <w:rPr>
          <w:rFonts w:ascii="David" w:hAnsi="David" w:cs="David"/>
          <w:sz w:val="24"/>
          <w:szCs w:val="24"/>
          <w:rtl/>
        </w:rPr>
        <w:t>(</w:t>
      </w:r>
      <w:r w:rsidR="00F147F1">
        <w:rPr>
          <w:rFonts w:ascii="David" w:hAnsi="David" w:cs="David" w:hint="cs"/>
          <w:sz w:val="24"/>
          <w:szCs w:val="24"/>
          <w:rtl/>
        </w:rPr>
        <w:t xml:space="preserve">ראו: </w:t>
      </w:r>
      <w:r>
        <w:rPr>
          <w:rFonts w:ascii="David" w:hAnsi="David" w:cs="David"/>
          <w:sz w:val="24"/>
          <w:szCs w:val="24"/>
          <w:rtl/>
        </w:rPr>
        <w:t>פרוטוקול דיון מיום 11.9.24 עמוד 44 שורות 35-36, עמוד 45 שורות 1-6, עמוד 45 שורות 25-28). לו כך היה הדבר, נהיר כי באותה העת, בערב יום הדיון – 15.5.2022 הבין התובע כי מדובר במכירת הבית ואף על פי כן הגיש את התביעה כ- 5 חודשים מאוחר יותר.</w:t>
      </w:r>
    </w:p>
    <w:p w:rsidR="00970FD9" w:rsidRDefault="00970FD9" w:rsidP="00970FD9">
      <w:pPr>
        <w:pStyle w:val="ad"/>
        <w:numPr>
          <w:ilvl w:val="0"/>
          <w:numId w:val="2"/>
        </w:numPr>
        <w:spacing w:line="360" w:lineRule="auto"/>
        <w:jc w:val="both"/>
        <w:rPr>
          <w:rFonts w:ascii="David" w:hAnsi="David" w:cs="David"/>
          <w:sz w:val="24"/>
          <w:szCs w:val="24"/>
        </w:rPr>
      </w:pPr>
      <w:r>
        <w:rPr>
          <w:rFonts w:ascii="David" w:hAnsi="David" w:cs="David"/>
          <w:sz w:val="24"/>
          <w:szCs w:val="24"/>
          <w:rtl/>
        </w:rPr>
        <w:t xml:space="preserve">התובע נשאל מה עשה כששמע את תשובת עו"ד </w:t>
      </w:r>
      <w:r w:rsidR="00F37117">
        <w:rPr>
          <w:rFonts w:ascii="David" w:hAnsi="David" w:cs="David"/>
          <w:sz w:val="24"/>
          <w:szCs w:val="24"/>
          <w:rtl/>
        </w:rPr>
        <w:t>ב' ז'</w:t>
      </w:r>
      <w:r>
        <w:rPr>
          <w:rFonts w:ascii="David" w:hAnsi="David" w:cs="David"/>
          <w:sz w:val="24"/>
          <w:szCs w:val="24"/>
          <w:rtl/>
        </w:rPr>
        <w:t xml:space="preserve"> ותשובתו היתה "</w:t>
      </w:r>
      <w:r w:rsidRPr="00E72D1E">
        <w:rPr>
          <w:rFonts w:ascii="David" w:hAnsi="David" w:cs="David"/>
          <w:b/>
          <w:bCs/>
          <w:sz w:val="24"/>
          <w:szCs w:val="24"/>
          <w:rtl/>
        </w:rPr>
        <w:t>אמרתי אוקי אני מבין ופניתי לאבא שלי. אבא שלי הוא זה ששכר אותו בעצם שילם לו</w:t>
      </w:r>
      <w:r>
        <w:rPr>
          <w:rFonts w:ascii="David" w:hAnsi="David" w:cs="David"/>
          <w:sz w:val="24"/>
          <w:szCs w:val="24"/>
          <w:rtl/>
        </w:rPr>
        <w:t>" (</w:t>
      </w:r>
      <w:r w:rsidR="00E72D1E">
        <w:rPr>
          <w:rFonts w:ascii="David" w:hAnsi="David" w:cs="David" w:hint="cs"/>
          <w:sz w:val="24"/>
          <w:szCs w:val="24"/>
          <w:rtl/>
        </w:rPr>
        <w:t xml:space="preserve">ראו: </w:t>
      </w:r>
      <w:r>
        <w:rPr>
          <w:rFonts w:ascii="David" w:hAnsi="David" w:cs="David"/>
          <w:sz w:val="24"/>
          <w:szCs w:val="24"/>
          <w:rtl/>
        </w:rPr>
        <w:t xml:space="preserve">פרוטוקול </w:t>
      </w:r>
      <w:r>
        <w:rPr>
          <w:rFonts w:ascii="David" w:hAnsi="David" w:cs="David"/>
          <w:sz w:val="24"/>
          <w:szCs w:val="24"/>
          <w:rtl/>
        </w:rPr>
        <w:lastRenderedPageBreak/>
        <w:t>דיון מיום 11.9.24 עמוד 46 שורות 15-17) – כלומר באותו הערב, 15.5.2022 לא רק שהתובע הבין וידע, גם אביו הבין וידע, ויחד עם זאת לקח לתובע להגיש את התביעה 5 חודשים.</w:t>
      </w:r>
    </w:p>
    <w:p w:rsidR="00970FD9" w:rsidRDefault="00970FD9" w:rsidP="00843726">
      <w:pPr>
        <w:pStyle w:val="ad"/>
        <w:spacing w:line="360" w:lineRule="auto"/>
        <w:ind w:left="1080"/>
        <w:jc w:val="both"/>
        <w:rPr>
          <w:rFonts w:ascii="David" w:hAnsi="David" w:cs="David"/>
          <w:sz w:val="24"/>
          <w:szCs w:val="24"/>
        </w:rPr>
      </w:pPr>
      <w:r>
        <w:rPr>
          <w:rFonts w:ascii="David" w:hAnsi="David" w:cs="David"/>
          <w:sz w:val="24"/>
          <w:szCs w:val="24"/>
          <w:rtl/>
        </w:rPr>
        <w:t>למעלה מן הצורך יצוין כי אביו של התובע, שהגיש תצהיר ונחקר (להלן: "</w:t>
      </w:r>
      <w:r>
        <w:rPr>
          <w:rFonts w:ascii="David" w:hAnsi="David" w:cs="David"/>
          <w:b/>
          <w:bCs/>
          <w:sz w:val="24"/>
          <w:szCs w:val="24"/>
          <w:rtl/>
        </w:rPr>
        <w:t>העד</w:t>
      </w:r>
      <w:r>
        <w:rPr>
          <w:rFonts w:ascii="David" w:hAnsi="David" w:cs="David"/>
          <w:sz w:val="24"/>
          <w:szCs w:val="24"/>
          <w:rtl/>
        </w:rPr>
        <w:t>"), ענה תשובה אחרת מזו של התובע, לגבי המועד שנודע לו על פסק הדין ותשובה אחרת מזו שהעיד בתצהירו. ראשית יצוין כי העד העיד כי ליווה למעשה את התובע לדיון ובמהלכו המתין לו בחוץ (</w:t>
      </w:r>
      <w:r w:rsidR="00E72D1E">
        <w:rPr>
          <w:rFonts w:ascii="David" w:hAnsi="David" w:cs="David" w:hint="cs"/>
          <w:sz w:val="24"/>
          <w:szCs w:val="24"/>
          <w:rtl/>
        </w:rPr>
        <w:t xml:space="preserve">ראו: </w:t>
      </w:r>
      <w:r>
        <w:rPr>
          <w:rFonts w:ascii="David" w:hAnsi="David" w:cs="David"/>
          <w:sz w:val="24"/>
          <w:szCs w:val="24"/>
          <w:rtl/>
        </w:rPr>
        <w:t xml:space="preserve">פרוטוקול דיון מיום 11.9.24 עמוד 62 שורות 31-32), כך </w:t>
      </w:r>
      <w:r w:rsidR="00E72D1E">
        <w:rPr>
          <w:rFonts w:ascii="David" w:hAnsi="David" w:cs="David" w:hint="cs"/>
          <w:sz w:val="24"/>
          <w:szCs w:val="24"/>
          <w:rtl/>
        </w:rPr>
        <w:t>שההיגיו</w:t>
      </w:r>
      <w:r w:rsidR="00E72D1E">
        <w:rPr>
          <w:rFonts w:ascii="David" w:hAnsi="David" w:cs="David" w:hint="eastAsia"/>
          <w:sz w:val="24"/>
          <w:szCs w:val="24"/>
          <w:rtl/>
        </w:rPr>
        <w:t>ן</w:t>
      </w:r>
      <w:r>
        <w:rPr>
          <w:rFonts w:ascii="David" w:hAnsi="David" w:cs="David"/>
          <w:sz w:val="24"/>
          <w:szCs w:val="24"/>
          <w:rtl/>
        </w:rPr>
        <w:t xml:space="preserve"> אומר שהתובע שיתף את העד בקורות הדיון לאחר שהסתיים, עת יצא אליו, ולא בערב. בתצהירו – סעיף 14, ציין העד כי כבר באותו הים, "אחרי הדיון", שאל את עורך דין </w:t>
      </w:r>
      <w:r w:rsidR="00F37117">
        <w:rPr>
          <w:rFonts w:ascii="David" w:hAnsi="David" w:cs="David"/>
          <w:sz w:val="24"/>
          <w:szCs w:val="24"/>
          <w:rtl/>
        </w:rPr>
        <w:t>ב' ז'</w:t>
      </w:r>
      <w:r>
        <w:rPr>
          <w:rFonts w:ascii="David" w:hAnsi="David" w:cs="David"/>
          <w:sz w:val="24"/>
          <w:szCs w:val="24"/>
          <w:rtl/>
        </w:rPr>
        <w:t xml:space="preserve"> "למה נתת הסכמה לפירוק שיתוף?" בעדות כבר טען אחרת ואמר כי אחרי כמה ימים או שבועות, כאשר התחיל לבדוק את הדברים הבין את הבעיה (</w:t>
      </w:r>
      <w:r w:rsidR="00E72D1E">
        <w:rPr>
          <w:rFonts w:ascii="David" w:hAnsi="David" w:cs="David" w:hint="cs"/>
          <w:sz w:val="24"/>
          <w:szCs w:val="24"/>
          <w:rtl/>
        </w:rPr>
        <w:t xml:space="preserve">ראו: </w:t>
      </w:r>
      <w:r>
        <w:rPr>
          <w:rFonts w:ascii="David" w:hAnsi="David" w:cs="David"/>
          <w:sz w:val="24"/>
          <w:szCs w:val="24"/>
          <w:rtl/>
        </w:rPr>
        <w:t xml:space="preserve">פרוטוקול דיון מיום 11.9.2024 עמוד 63 שורות 21-23). לא יהיה זה מופרך לחשוב כי העד, אביו של התובע, שיתף את התובע "בבעיה" כבר באותה העת, או לכל היותר מספר ימים לאחר הדיון, ושוב נשאלת השאלה מדוע אם כך לקח לתובע להגיש את התביעה 5 חודשים מאוחר יותר. בענין זה יאמר כי עדותו של העד לא רק שלא סייעה לתובע היא אף תמכה בטענה כי הטענות הינן כנגד עורך דין </w:t>
      </w:r>
      <w:r w:rsidR="00F37117">
        <w:rPr>
          <w:rFonts w:ascii="David" w:hAnsi="David" w:cs="David"/>
          <w:sz w:val="24"/>
          <w:szCs w:val="24"/>
          <w:rtl/>
        </w:rPr>
        <w:t>ז'</w:t>
      </w:r>
      <w:r>
        <w:rPr>
          <w:rFonts w:ascii="David" w:hAnsi="David" w:cs="David"/>
          <w:sz w:val="24"/>
          <w:szCs w:val="24"/>
          <w:rtl/>
        </w:rPr>
        <w:t xml:space="preserve"> בלבד ובדבריו "</w:t>
      </w:r>
      <w:r w:rsidRPr="00E72D1E">
        <w:rPr>
          <w:rFonts w:ascii="David" w:hAnsi="David" w:cs="David"/>
          <w:b/>
          <w:bCs/>
          <w:sz w:val="24"/>
          <w:szCs w:val="24"/>
          <w:rtl/>
        </w:rPr>
        <w:t>באתי להעיד שהבן אדם הזה</w:t>
      </w:r>
      <w:r>
        <w:rPr>
          <w:rFonts w:ascii="David" w:hAnsi="David" w:cs="David"/>
          <w:sz w:val="24"/>
          <w:szCs w:val="24"/>
          <w:rtl/>
        </w:rPr>
        <w:t xml:space="preserve"> </w:t>
      </w:r>
      <w:r w:rsidRPr="00E72D1E">
        <w:rPr>
          <w:rFonts w:ascii="David" w:hAnsi="David" w:cs="David"/>
          <w:b/>
          <w:bCs/>
          <w:sz w:val="24"/>
          <w:szCs w:val="24"/>
          <w:rtl/>
        </w:rPr>
        <w:t>סידר אותו</w:t>
      </w:r>
      <w:r>
        <w:rPr>
          <w:rFonts w:ascii="David" w:hAnsi="David" w:cs="David"/>
          <w:sz w:val="24"/>
          <w:szCs w:val="24"/>
          <w:rtl/>
        </w:rPr>
        <w:t>" (</w:t>
      </w:r>
      <w:r w:rsidR="00E72D1E">
        <w:rPr>
          <w:rFonts w:ascii="David" w:hAnsi="David" w:cs="David" w:hint="cs"/>
          <w:sz w:val="24"/>
          <w:szCs w:val="24"/>
          <w:rtl/>
        </w:rPr>
        <w:t xml:space="preserve">ראו: </w:t>
      </w:r>
      <w:r>
        <w:rPr>
          <w:rFonts w:ascii="David" w:hAnsi="David" w:cs="David"/>
          <w:sz w:val="24"/>
          <w:szCs w:val="24"/>
          <w:rtl/>
        </w:rPr>
        <w:t xml:space="preserve">פרוטוקול דיון מיום 11.9.24 עמוד 64 שורה 6), כך שככל שלתובע יש תלונות לעו"ד </w:t>
      </w:r>
      <w:r w:rsidR="00F37117">
        <w:rPr>
          <w:rFonts w:ascii="David" w:hAnsi="David" w:cs="David"/>
          <w:sz w:val="24"/>
          <w:szCs w:val="24"/>
          <w:rtl/>
        </w:rPr>
        <w:t>ב' ז'</w:t>
      </w:r>
      <w:r>
        <w:rPr>
          <w:rFonts w:ascii="David" w:hAnsi="David" w:cs="David"/>
          <w:sz w:val="24"/>
          <w:szCs w:val="24"/>
          <w:rtl/>
        </w:rPr>
        <w:t xml:space="preserve"> עליו להפנותן אליו ולא לבית המשפט.</w:t>
      </w:r>
    </w:p>
    <w:p w:rsidR="00970FD9" w:rsidRDefault="00970FD9" w:rsidP="00970FD9">
      <w:pPr>
        <w:spacing w:line="360" w:lineRule="auto"/>
        <w:jc w:val="both"/>
        <w:rPr>
          <w:rFonts w:ascii="David" w:hAnsi="David"/>
          <w:rtl/>
        </w:rPr>
      </w:pPr>
      <w:r>
        <w:rPr>
          <w:rFonts w:ascii="David" w:hAnsi="David"/>
          <w:b/>
          <w:bCs/>
          <w:u w:val="single"/>
          <w:rtl/>
        </w:rPr>
        <w:t>התובע לא הצליח להסביר מדוע בחר שלא להגיש ערעור על פסק הדין</w:t>
      </w:r>
      <w:r>
        <w:rPr>
          <w:rFonts w:ascii="David" w:hAnsi="David"/>
          <w:rtl/>
        </w:rPr>
        <w:t xml:space="preserve"> – </w:t>
      </w:r>
    </w:p>
    <w:p w:rsidR="005934ED" w:rsidRDefault="005934ED" w:rsidP="005934ED">
      <w:pPr>
        <w:jc w:val="both"/>
        <w:rPr>
          <w:rFonts w:ascii="David" w:hAnsi="David"/>
          <w:rtl/>
        </w:rPr>
      </w:pPr>
    </w:p>
    <w:p w:rsidR="00970FD9" w:rsidRDefault="00970FD9" w:rsidP="00970FD9">
      <w:pPr>
        <w:pStyle w:val="ad"/>
        <w:numPr>
          <w:ilvl w:val="0"/>
          <w:numId w:val="1"/>
        </w:numPr>
        <w:spacing w:line="360" w:lineRule="auto"/>
        <w:ind w:left="368" w:hanging="426"/>
        <w:jc w:val="both"/>
        <w:rPr>
          <w:rFonts w:ascii="David" w:hAnsi="David" w:cs="David"/>
          <w:sz w:val="24"/>
          <w:szCs w:val="24"/>
        </w:rPr>
      </w:pPr>
      <w:r>
        <w:rPr>
          <w:rFonts w:ascii="David" w:hAnsi="David" w:cs="David"/>
          <w:sz w:val="24"/>
          <w:szCs w:val="24"/>
          <w:rtl/>
        </w:rPr>
        <w:t xml:space="preserve">התובע טוען כי שאל את עו"ד </w:t>
      </w:r>
      <w:r w:rsidR="00F37117">
        <w:rPr>
          <w:rFonts w:ascii="David" w:hAnsi="David" w:cs="David"/>
          <w:sz w:val="24"/>
          <w:szCs w:val="24"/>
          <w:rtl/>
        </w:rPr>
        <w:t>ב' ז'</w:t>
      </w:r>
      <w:r>
        <w:rPr>
          <w:rFonts w:ascii="David" w:hAnsi="David" w:cs="David"/>
          <w:sz w:val="24"/>
          <w:szCs w:val="24"/>
          <w:rtl/>
        </w:rPr>
        <w:t xml:space="preserve"> אם אפשר לערער על פסק הדין וזה אמר לו שלא (</w:t>
      </w:r>
      <w:r w:rsidR="004A0B3E">
        <w:rPr>
          <w:rFonts w:ascii="David" w:hAnsi="David" w:cs="David" w:hint="cs"/>
          <w:sz w:val="24"/>
          <w:szCs w:val="24"/>
          <w:rtl/>
        </w:rPr>
        <w:t xml:space="preserve">ראו: </w:t>
      </w:r>
      <w:r>
        <w:rPr>
          <w:rFonts w:ascii="David" w:hAnsi="David" w:cs="David"/>
          <w:sz w:val="24"/>
          <w:szCs w:val="24"/>
          <w:rtl/>
        </w:rPr>
        <w:t xml:space="preserve">פרוטוקול דיון מיום 11.9.2024 עמוד 46 שורות 24-25), אולם מתחלופת </w:t>
      </w:r>
      <w:r w:rsidR="004A0B3E">
        <w:rPr>
          <w:rFonts w:ascii="David" w:hAnsi="David" w:cs="David" w:hint="cs"/>
          <w:sz w:val="24"/>
          <w:szCs w:val="24"/>
          <w:rtl/>
        </w:rPr>
        <w:t xml:space="preserve">הודעות </w:t>
      </w:r>
      <w:r>
        <w:rPr>
          <w:rFonts w:ascii="David" w:hAnsi="David" w:cs="David"/>
          <w:sz w:val="24"/>
          <w:szCs w:val="24"/>
          <w:rtl/>
        </w:rPr>
        <w:t xml:space="preserve">הווטצאפ שבין עו"ד </w:t>
      </w:r>
      <w:r w:rsidR="00F37117">
        <w:rPr>
          <w:rFonts w:ascii="David" w:hAnsi="David" w:cs="David"/>
          <w:sz w:val="24"/>
          <w:szCs w:val="24"/>
          <w:rtl/>
        </w:rPr>
        <w:t>ב' ז'</w:t>
      </w:r>
      <w:r>
        <w:rPr>
          <w:rFonts w:ascii="David" w:hAnsi="David" w:cs="David"/>
          <w:sz w:val="24"/>
          <w:szCs w:val="24"/>
          <w:rtl/>
        </w:rPr>
        <w:t xml:space="preserve"> לתובע, שהוצגה על ידי התובע בעצמו – נספח ג' לכתב התביעה,  עו"ד </w:t>
      </w:r>
      <w:r w:rsidR="00F37117">
        <w:rPr>
          <w:rFonts w:ascii="David" w:hAnsi="David" w:cs="David"/>
          <w:sz w:val="24"/>
          <w:szCs w:val="24"/>
          <w:rtl/>
        </w:rPr>
        <w:t>ב' ז'</w:t>
      </w:r>
      <w:r>
        <w:rPr>
          <w:rFonts w:ascii="David" w:hAnsi="David" w:cs="David"/>
          <w:sz w:val="24"/>
          <w:szCs w:val="24"/>
          <w:rtl/>
        </w:rPr>
        <w:t xml:space="preserve"> ענה לו "הסיכוי קלוש". עדותו של התובע אם כך בעייתית. לא רק שאין היא נכונה, מאחר ולא נאמר לתובע כי לא ניתן לערער, היא אף מעידה כי התובע הוא זה שבחר שלא להגיש ערעור, שהרי ידוע שגם אם מדובר בסיכוי קלוש, יכול היה התובע לנסות לערער, ובכל זאת לא ניסה. </w:t>
      </w:r>
    </w:p>
    <w:p w:rsidR="00970FD9" w:rsidRDefault="00970FD9" w:rsidP="005934ED">
      <w:pPr>
        <w:pStyle w:val="ad"/>
        <w:spacing w:line="240" w:lineRule="auto"/>
        <w:ind w:left="368"/>
        <w:jc w:val="both"/>
        <w:rPr>
          <w:rFonts w:ascii="David" w:hAnsi="David" w:cs="David"/>
          <w:sz w:val="24"/>
          <w:szCs w:val="24"/>
        </w:rPr>
      </w:pPr>
    </w:p>
    <w:p w:rsidR="00970FD9" w:rsidRDefault="00970FD9" w:rsidP="00970FD9">
      <w:pPr>
        <w:pStyle w:val="ad"/>
        <w:numPr>
          <w:ilvl w:val="0"/>
          <w:numId w:val="1"/>
        </w:numPr>
        <w:spacing w:line="360" w:lineRule="auto"/>
        <w:ind w:left="368" w:hanging="426"/>
        <w:jc w:val="both"/>
        <w:rPr>
          <w:rFonts w:ascii="David" w:hAnsi="David" w:cs="David"/>
          <w:sz w:val="24"/>
          <w:szCs w:val="24"/>
        </w:rPr>
      </w:pPr>
      <w:r>
        <w:rPr>
          <w:rFonts w:ascii="David" w:hAnsi="David" w:cs="David"/>
          <w:sz w:val="24"/>
          <w:szCs w:val="24"/>
          <w:rtl/>
        </w:rPr>
        <w:t xml:space="preserve">אם לא די בכך, התובע העיד כי בנוסף לעו"ד </w:t>
      </w:r>
      <w:r w:rsidR="00F37117">
        <w:rPr>
          <w:rFonts w:ascii="David" w:hAnsi="David" w:cs="David"/>
          <w:sz w:val="24"/>
          <w:szCs w:val="24"/>
          <w:rtl/>
        </w:rPr>
        <w:t>ב' ז'</w:t>
      </w:r>
      <w:r>
        <w:rPr>
          <w:rFonts w:ascii="David" w:hAnsi="David" w:cs="David"/>
          <w:sz w:val="24"/>
          <w:szCs w:val="24"/>
          <w:rtl/>
        </w:rPr>
        <w:t xml:space="preserve"> פנה גם לעורכי דין אחרים באותה השאלה (</w:t>
      </w:r>
      <w:r w:rsidR="00412E99">
        <w:rPr>
          <w:rFonts w:ascii="David" w:hAnsi="David" w:cs="David" w:hint="cs"/>
          <w:sz w:val="24"/>
          <w:szCs w:val="24"/>
          <w:rtl/>
        </w:rPr>
        <w:t xml:space="preserve">ראו: </w:t>
      </w:r>
      <w:r>
        <w:rPr>
          <w:rFonts w:ascii="David" w:hAnsi="David" w:cs="David"/>
          <w:sz w:val="24"/>
          <w:szCs w:val="24"/>
          <w:rtl/>
        </w:rPr>
        <w:t>פרוטוקול דיון מיום 11.9.24 עמוד 49 שורות 27-36). בתחילה העיד כי כולם נתנו לו את אותה התשובה לפיה אי אפשר לער</w:t>
      </w:r>
      <w:r w:rsidR="00412E99">
        <w:rPr>
          <w:rFonts w:ascii="David" w:hAnsi="David" w:cs="David" w:hint="cs"/>
          <w:sz w:val="24"/>
          <w:szCs w:val="24"/>
          <w:rtl/>
        </w:rPr>
        <w:t>ע</w:t>
      </w:r>
      <w:r>
        <w:rPr>
          <w:rFonts w:ascii="David" w:hAnsi="David" w:cs="David"/>
          <w:sz w:val="24"/>
          <w:szCs w:val="24"/>
          <w:rtl/>
        </w:rPr>
        <w:t>ר כי פסק הדין ניתן בהסכמה (</w:t>
      </w:r>
      <w:r w:rsidR="00412E99">
        <w:rPr>
          <w:rFonts w:ascii="David" w:hAnsi="David" w:cs="David" w:hint="cs"/>
          <w:sz w:val="24"/>
          <w:szCs w:val="24"/>
          <w:rtl/>
        </w:rPr>
        <w:t xml:space="preserve">ראו: </w:t>
      </w:r>
      <w:r>
        <w:rPr>
          <w:rFonts w:ascii="David" w:hAnsi="David" w:cs="David"/>
          <w:sz w:val="24"/>
          <w:szCs w:val="24"/>
          <w:rtl/>
        </w:rPr>
        <w:t>פרוטוקול דיון מיום 11.9.24 עמוד 50 שורות 2-3), לאחר מכן שינה ואמר שאמרו לו שהסיכויים קלושים – שורה 5. הלכה למעשה לא ברור מתשובותיו של התובע מה בדיוק ייעץ לו עו"ד זה או אחר, יחד עם זאת לא נמצא בעדותו של התובע כי כל פנייה שלו לאיש מקצוע העלתה את אותה התשובה לפיה לא ניתן לערער, נהפוך הוא. התובע כאמור העיד, בין היתר, כי עו"ד אחרים אמרו לו שהוא זכאי לערער רק שהסיכויים מאוד קלושים (</w:t>
      </w:r>
      <w:r w:rsidR="00412E99">
        <w:rPr>
          <w:rFonts w:ascii="David" w:hAnsi="David" w:cs="David" w:hint="cs"/>
          <w:sz w:val="24"/>
          <w:szCs w:val="24"/>
          <w:rtl/>
        </w:rPr>
        <w:t xml:space="preserve">ראו: </w:t>
      </w:r>
      <w:r>
        <w:rPr>
          <w:rFonts w:ascii="David" w:hAnsi="David" w:cs="David"/>
          <w:sz w:val="24"/>
          <w:szCs w:val="24"/>
          <w:rtl/>
        </w:rPr>
        <w:t xml:space="preserve">פרוטוקול דיון מיום 11.9.24 עמוד 61 שורות 4-13). כפי שניתן </w:t>
      </w:r>
      <w:r>
        <w:rPr>
          <w:rFonts w:ascii="David" w:hAnsi="David" w:cs="David"/>
          <w:sz w:val="24"/>
          <w:szCs w:val="24"/>
          <w:rtl/>
        </w:rPr>
        <w:lastRenderedPageBreak/>
        <w:t xml:space="preserve">לראות התובע </w:t>
      </w:r>
      <w:r w:rsidR="00865CD3">
        <w:rPr>
          <w:rFonts w:ascii="David" w:hAnsi="David" w:cs="David" w:hint="cs"/>
          <w:sz w:val="24"/>
          <w:szCs w:val="24"/>
          <w:rtl/>
        </w:rPr>
        <w:t xml:space="preserve">אף </w:t>
      </w:r>
      <w:r>
        <w:rPr>
          <w:rFonts w:ascii="David" w:hAnsi="David" w:cs="David"/>
          <w:sz w:val="24"/>
          <w:szCs w:val="24"/>
          <w:rtl/>
        </w:rPr>
        <w:t xml:space="preserve">זגזג בין גרסאות, בחקירה נגדית אמר כי לפני שפנה לעו"ד </w:t>
      </w:r>
      <w:r w:rsidR="00F37117">
        <w:rPr>
          <w:rFonts w:ascii="David" w:hAnsi="David" w:cs="David"/>
          <w:sz w:val="24"/>
          <w:szCs w:val="24"/>
          <w:rtl/>
        </w:rPr>
        <w:t>ב' ז'</w:t>
      </w:r>
      <w:r>
        <w:rPr>
          <w:rFonts w:ascii="David" w:hAnsi="David" w:cs="David"/>
          <w:sz w:val="24"/>
          <w:szCs w:val="24"/>
          <w:rtl/>
        </w:rPr>
        <w:t xml:space="preserve"> וקיבל את התשובה שהסיכוי קטן, פנה לעורכי דין אחרים שנתנו לו את אותה התשובה, בחקירה חוזרת אמר שקודם פנה לעו"ד </w:t>
      </w:r>
      <w:r w:rsidR="00F37117">
        <w:rPr>
          <w:rFonts w:ascii="David" w:hAnsi="David" w:cs="David"/>
          <w:sz w:val="24"/>
          <w:szCs w:val="24"/>
          <w:rtl/>
        </w:rPr>
        <w:t>ב' ז'</w:t>
      </w:r>
      <w:r>
        <w:rPr>
          <w:rFonts w:ascii="David" w:hAnsi="David" w:cs="David"/>
          <w:sz w:val="24"/>
          <w:szCs w:val="24"/>
          <w:rtl/>
        </w:rPr>
        <w:t xml:space="preserve"> ורק אחרי זה פנה לעורכי דין אחרים (</w:t>
      </w:r>
      <w:r w:rsidR="00412E99">
        <w:rPr>
          <w:rFonts w:ascii="David" w:hAnsi="David" w:cs="David" w:hint="cs"/>
          <w:sz w:val="24"/>
          <w:szCs w:val="24"/>
          <w:rtl/>
        </w:rPr>
        <w:t xml:space="preserve">ראו: </w:t>
      </w:r>
      <w:r>
        <w:rPr>
          <w:rFonts w:ascii="David" w:hAnsi="David" w:cs="David"/>
          <w:sz w:val="24"/>
          <w:szCs w:val="24"/>
          <w:rtl/>
        </w:rPr>
        <w:t>פרוטוקול דיון מיום 11.9.24 עמוד 59 שורות 7-11). עדותו של התובע, לכל הפחות בענין זה, לא היתה אמינה.</w:t>
      </w:r>
    </w:p>
    <w:p w:rsidR="00970FD9" w:rsidRDefault="00970FD9" w:rsidP="00970FD9">
      <w:pPr>
        <w:pStyle w:val="ad"/>
        <w:rPr>
          <w:rFonts w:ascii="David" w:hAnsi="David" w:cs="David"/>
          <w:sz w:val="24"/>
          <w:szCs w:val="24"/>
        </w:rPr>
      </w:pPr>
    </w:p>
    <w:p w:rsidR="00970FD9" w:rsidRDefault="00472BBA" w:rsidP="00865CD3">
      <w:pPr>
        <w:pStyle w:val="ad"/>
        <w:numPr>
          <w:ilvl w:val="0"/>
          <w:numId w:val="1"/>
        </w:numPr>
        <w:spacing w:line="360" w:lineRule="auto"/>
        <w:ind w:left="368" w:hanging="426"/>
        <w:jc w:val="both"/>
        <w:rPr>
          <w:rFonts w:ascii="David" w:hAnsi="David" w:cs="David"/>
          <w:sz w:val="24"/>
          <w:szCs w:val="24"/>
          <w:rtl/>
        </w:rPr>
      </w:pPr>
      <w:r>
        <w:rPr>
          <w:rFonts w:ascii="David" w:hAnsi="David" w:cs="David" w:hint="cs"/>
          <w:sz w:val="24"/>
          <w:szCs w:val="24"/>
          <w:rtl/>
        </w:rPr>
        <w:t>זאת ועוד,</w:t>
      </w:r>
      <w:r w:rsidR="00970FD9">
        <w:rPr>
          <w:rFonts w:ascii="David" w:hAnsi="David" w:cs="David"/>
          <w:sz w:val="24"/>
          <w:szCs w:val="24"/>
          <w:rtl/>
        </w:rPr>
        <w:t xml:space="preserve"> </w:t>
      </w:r>
      <w:r w:rsidR="00865CD3">
        <w:rPr>
          <w:rFonts w:ascii="David" w:hAnsi="David" w:cs="David"/>
          <w:sz w:val="24"/>
          <w:szCs w:val="24"/>
          <w:rtl/>
        </w:rPr>
        <w:t xml:space="preserve">במסגרת ההליך הוזמן עו"ד </w:t>
      </w:r>
      <w:r w:rsidR="00F37117">
        <w:rPr>
          <w:rFonts w:ascii="David" w:hAnsi="David" w:cs="David"/>
          <w:sz w:val="24"/>
          <w:szCs w:val="24"/>
          <w:rtl/>
        </w:rPr>
        <w:t>ב' ז'</w:t>
      </w:r>
      <w:r w:rsidR="00865CD3">
        <w:rPr>
          <w:rFonts w:ascii="David" w:hAnsi="David" w:cs="David" w:hint="cs"/>
          <w:sz w:val="24"/>
          <w:szCs w:val="24"/>
          <w:rtl/>
        </w:rPr>
        <w:t xml:space="preserve">, על ידי התובע, </w:t>
      </w:r>
      <w:r w:rsidR="00970FD9">
        <w:rPr>
          <w:rFonts w:ascii="David" w:hAnsi="David" w:cs="David"/>
          <w:sz w:val="24"/>
          <w:szCs w:val="24"/>
          <w:rtl/>
        </w:rPr>
        <w:t>לעדות</w:t>
      </w:r>
      <w:r w:rsidR="00865CD3">
        <w:rPr>
          <w:rFonts w:ascii="David" w:hAnsi="David" w:cs="David" w:hint="cs"/>
          <w:sz w:val="24"/>
          <w:szCs w:val="24"/>
          <w:rtl/>
        </w:rPr>
        <w:t>. במהלך חקירתו הוצגה ל</w:t>
      </w:r>
      <w:r w:rsidR="00970FD9">
        <w:rPr>
          <w:rFonts w:ascii="David" w:hAnsi="David" w:cs="David"/>
          <w:sz w:val="24"/>
          <w:szCs w:val="24"/>
          <w:rtl/>
        </w:rPr>
        <w:t xml:space="preserve">בית המשפט תכתובת הווטצאפ האוטנטית שהוחלפה בינו לבין התובע </w:t>
      </w:r>
      <w:r w:rsidR="00865CD3">
        <w:rPr>
          <w:rFonts w:ascii="David" w:hAnsi="David" w:cs="David" w:hint="cs"/>
          <w:sz w:val="24"/>
          <w:szCs w:val="24"/>
          <w:rtl/>
        </w:rPr>
        <w:t>ונמצאה</w:t>
      </w:r>
      <w:r w:rsidR="00970FD9">
        <w:rPr>
          <w:rFonts w:ascii="David" w:hAnsi="David" w:cs="David"/>
          <w:sz w:val="24"/>
          <w:szCs w:val="24"/>
          <w:rtl/>
        </w:rPr>
        <w:t xml:space="preserve"> בעייתיות בנספח ג' שצירף התובע לכתב התביעה. ובמה דברים אמורים?</w:t>
      </w:r>
    </w:p>
    <w:p w:rsidR="00970FD9" w:rsidRDefault="00970FD9" w:rsidP="00970FD9">
      <w:pPr>
        <w:pStyle w:val="ad"/>
        <w:rPr>
          <w:rFonts w:ascii="David" w:hAnsi="David" w:cs="David"/>
          <w:sz w:val="24"/>
          <w:szCs w:val="24"/>
        </w:rPr>
      </w:pPr>
    </w:p>
    <w:p w:rsidR="00970FD9" w:rsidRDefault="00970FD9" w:rsidP="00970FD9">
      <w:pPr>
        <w:pStyle w:val="ad"/>
        <w:numPr>
          <w:ilvl w:val="0"/>
          <w:numId w:val="3"/>
        </w:numPr>
        <w:spacing w:line="360" w:lineRule="auto"/>
        <w:jc w:val="both"/>
        <w:rPr>
          <w:rFonts w:ascii="David" w:hAnsi="David" w:cs="David"/>
          <w:sz w:val="24"/>
          <w:szCs w:val="24"/>
          <w:rtl/>
        </w:rPr>
      </w:pPr>
      <w:r>
        <w:rPr>
          <w:rFonts w:ascii="David" w:hAnsi="David" w:cs="David"/>
          <w:sz w:val="24"/>
          <w:szCs w:val="24"/>
          <w:rtl/>
        </w:rPr>
        <w:t xml:space="preserve">התובע ביקש להוכיח כי מיד כאשר הבין שמדובר במכירת הבית פנה לעו"ד </w:t>
      </w:r>
      <w:r w:rsidR="00F37117">
        <w:rPr>
          <w:rFonts w:ascii="David" w:hAnsi="David" w:cs="David"/>
          <w:sz w:val="24"/>
          <w:szCs w:val="24"/>
          <w:rtl/>
        </w:rPr>
        <w:t>ב' ז'</w:t>
      </w:r>
      <w:r>
        <w:rPr>
          <w:rFonts w:ascii="David" w:hAnsi="David" w:cs="David"/>
          <w:sz w:val="24"/>
          <w:szCs w:val="24"/>
          <w:rtl/>
        </w:rPr>
        <w:t xml:space="preserve">, ואת זאת ניתן ללמוד לשיטתו מנספח ג', משלוח הודעת ווטצאפ מיום 20.5.22. מנגד, עיון כאמור בטלפון הנייד של עורך דין </w:t>
      </w:r>
      <w:r w:rsidR="00F37117">
        <w:rPr>
          <w:rFonts w:ascii="David" w:hAnsi="David" w:cs="David"/>
          <w:sz w:val="24"/>
          <w:szCs w:val="24"/>
          <w:rtl/>
        </w:rPr>
        <w:t>ז'</w:t>
      </w:r>
      <w:r>
        <w:rPr>
          <w:rFonts w:ascii="David" w:hAnsi="David" w:cs="David"/>
          <w:sz w:val="24"/>
          <w:szCs w:val="24"/>
          <w:rtl/>
        </w:rPr>
        <w:t xml:space="preserve"> מעלה כי הודעה זו של התובע נשלחה לעו"ד </w:t>
      </w:r>
      <w:r w:rsidR="00F37117">
        <w:rPr>
          <w:rFonts w:ascii="David" w:hAnsi="David" w:cs="David"/>
          <w:sz w:val="24"/>
          <w:szCs w:val="24"/>
          <w:rtl/>
        </w:rPr>
        <w:t>ב' ז'</w:t>
      </w:r>
      <w:r>
        <w:rPr>
          <w:rFonts w:ascii="David" w:hAnsi="David" w:cs="David"/>
          <w:sz w:val="24"/>
          <w:szCs w:val="24"/>
          <w:rtl/>
        </w:rPr>
        <w:t xml:space="preserve"> רק ביום 29.5.22.</w:t>
      </w:r>
    </w:p>
    <w:p w:rsidR="00970FD9" w:rsidRDefault="00970FD9" w:rsidP="00865CD3">
      <w:pPr>
        <w:pStyle w:val="ad"/>
        <w:numPr>
          <w:ilvl w:val="0"/>
          <w:numId w:val="3"/>
        </w:numPr>
        <w:spacing w:line="360" w:lineRule="auto"/>
        <w:jc w:val="both"/>
        <w:rPr>
          <w:rFonts w:ascii="David" w:hAnsi="David" w:cs="David"/>
          <w:sz w:val="24"/>
          <w:szCs w:val="24"/>
        </w:rPr>
      </w:pPr>
      <w:r>
        <w:rPr>
          <w:rFonts w:ascii="David" w:hAnsi="David" w:cs="David"/>
          <w:sz w:val="24"/>
          <w:szCs w:val="24"/>
          <w:rtl/>
        </w:rPr>
        <w:t xml:space="preserve">התובע נשאל איך מסביר את השוני שבין הודעות הווטצאפ שבטלפון של עו"ד </w:t>
      </w:r>
      <w:r w:rsidR="00F37117">
        <w:rPr>
          <w:rFonts w:ascii="David" w:hAnsi="David" w:cs="David"/>
          <w:sz w:val="24"/>
          <w:szCs w:val="24"/>
          <w:rtl/>
        </w:rPr>
        <w:t>ב' ז'</w:t>
      </w:r>
      <w:r>
        <w:rPr>
          <w:rFonts w:ascii="David" w:hAnsi="David" w:cs="David"/>
          <w:sz w:val="24"/>
          <w:szCs w:val="24"/>
          <w:rtl/>
        </w:rPr>
        <w:t>, שנצפו כאמור על ידי בית המשפט בדיון עצמו, אל מול הנספח שהוגש על ידו, והאם יכול להיות שהנספח אינו מייצג נכונה את המועדים, ולכך לא היתה לתובע תשובה פרט ל</w:t>
      </w:r>
      <w:r w:rsidR="00865CD3">
        <w:rPr>
          <w:rFonts w:ascii="David" w:hAnsi="David" w:cs="David" w:hint="cs"/>
          <w:sz w:val="24"/>
          <w:szCs w:val="24"/>
          <w:rtl/>
        </w:rPr>
        <w:t xml:space="preserve"> </w:t>
      </w:r>
      <w:r>
        <w:rPr>
          <w:rFonts w:ascii="David" w:hAnsi="David" w:cs="David"/>
          <w:sz w:val="24"/>
          <w:szCs w:val="24"/>
          <w:rtl/>
        </w:rPr>
        <w:t>"</w:t>
      </w:r>
      <w:r w:rsidRPr="00752D2B">
        <w:rPr>
          <w:rFonts w:ascii="David" w:hAnsi="David" w:cs="David"/>
          <w:b/>
          <w:bCs/>
          <w:sz w:val="24"/>
          <w:szCs w:val="24"/>
          <w:rtl/>
        </w:rPr>
        <w:t>אין לי מושג</w:t>
      </w:r>
      <w:r>
        <w:rPr>
          <w:rFonts w:ascii="David" w:hAnsi="David" w:cs="David"/>
          <w:sz w:val="24"/>
          <w:szCs w:val="24"/>
          <w:rtl/>
        </w:rPr>
        <w:t>" (</w:t>
      </w:r>
      <w:r w:rsidR="008D3125">
        <w:rPr>
          <w:rFonts w:ascii="David" w:hAnsi="David" w:cs="David" w:hint="cs"/>
          <w:sz w:val="24"/>
          <w:szCs w:val="24"/>
          <w:rtl/>
        </w:rPr>
        <w:t xml:space="preserve">ראו: </w:t>
      </w:r>
      <w:r>
        <w:rPr>
          <w:rFonts w:ascii="David" w:hAnsi="David" w:cs="David"/>
          <w:sz w:val="24"/>
          <w:szCs w:val="24"/>
          <w:rtl/>
        </w:rPr>
        <w:t>פרוטוקול דיון מיום 11.9.24 עמוד 51 שורות 12-16). התובע נתבקש לבדוק את הטלפון הנייד שלו ולדבריו החליף טלפון ולא הצליח  להעביר את היסטוריית הווטצפ (</w:t>
      </w:r>
      <w:r w:rsidR="008D3125">
        <w:rPr>
          <w:rFonts w:ascii="David" w:hAnsi="David" w:cs="David" w:hint="cs"/>
          <w:sz w:val="24"/>
          <w:szCs w:val="24"/>
          <w:rtl/>
        </w:rPr>
        <w:t xml:space="preserve">ראו: </w:t>
      </w:r>
      <w:r>
        <w:rPr>
          <w:rFonts w:ascii="David" w:hAnsi="David" w:cs="David"/>
          <w:sz w:val="24"/>
          <w:szCs w:val="24"/>
          <w:rtl/>
        </w:rPr>
        <w:t>פרוטוקול דיון מיום 11.9.24 עמוד 51 שורות  6-15).</w:t>
      </w:r>
    </w:p>
    <w:p w:rsidR="00970FD9" w:rsidRDefault="00970FD9" w:rsidP="00970FD9">
      <w:pPr>
        <w:pStyle w:val="ad"/>
        <w:numPr>
          <w:ilvl w:val="0"/>
          <w:numId w:val="3"/>
        </w:numPr>
        <w:spacing w:line="360" w:lineRule="auto"/>
        <w:jc w:val="both"/>
        <w:rPr>
          <w:rFonts w:ascii="David" w:hAnsi="David" w:cs="David"/>
          <w:sz w:val="24"/>
          <w:szCs w:val="24"/>
          <w:rtl/>
        </w:rPr>
      </w:pPr>
      <w:r>
        <w:rPr>
          <w:rFonts w:ascii="David" w:hAnsi="David" w:cs="David"/>
          <w:sz w:val="24"/>
          <w:szCs w:val="24"/>
          <w:rtl/>
        </w:rPr>
        <w:t>מאחר ואין בנתון זה בכדי להכריע את פסק הדין, ובמקרה דנן אין לו שום משקל, לא נכנס בית המשפט לעובי הקורה ולבחינת הפער שבין המוצגים. יחד עם זאת יאמר כי מה שראה בית המשפט, בפועל, בדיון עצמו, לא יכול שלא לשקף את מה שהתנהל, באותה העת, בפועל.</w:t>
      </w:r>
    </w:p>
    <w:p w:rsidR="00970FD9" w:rsidRDefault="00970FD9" w:rsidP="00970FD9">
      <w:pPr>
        <w:pStyle w:val="ad"/>
        <w:rPr>
          <w:rFonts w:ascii="David" w:hAnsi="David" w:cs="David"/>
          <w:sz w:val="24"/>
          <w:szCs w:val="24"/>
        </w:rPr>
      </w:pPr>
    </w:p>
    <w:p w:rsidR="003B422F" w:rsidRPr="009128A0" w:rsidRDefault="003B422F" w:rsidP="009128A0">
      <w:pPr>
        <w:pStyle w:val="ad"/>
        <w:numPr>
          <w:ilvl w:val="0"/>
          <w:numId w:val="1"/>
        </w:numPr>
        <w:spacing w:line="360" w:lineRule="auto"/>
        <w:ind w:left="368" w:hanging="426"/>
        <w:jc w:val="both"/>
        <w:rPr>
          <w:rFonts w:ascii="David" w:hAnsi="David" w:cs="David"/>
          <w:color w:val="000000"/>
          <w:sz w:val="24"/>
          <w:szCs w:val="24"/>
          <w:rtl/>
        </w:rPr>
      </w:pPr>
      <w:r w:rsidRPr="003B422F">
        <w:rPr>
          <w:rFonts w:ascii="David" w:hAnsi="David" w:cs="David"/>
          <w:color w:val="000000"/>
          <w:sz w:val="24"/>
          <w:szCs w:val="24"/>
          <w:rtl/>
        </w:rPr>
        <w:t>המבקש לתקוף פסק דין בהסכמה צריך לבחור באחד משני המסלולים האפשריים - תקיפת החלק "ההסכמי" או תקיפת החלק "השיפוטי"</w:t>
      </w:r>
      <w:r w:rsidR="00865CD3">
        <w:rPr>
          <w:rFonts w:ascii="David" w:hAnsi="David" w:cs="David" w:hint="cs"/>
          <w:color w:val="000000"/>
          <w:sz w:val="24"/>
          <w:szCs w:val="24"/>
          <w:rtl/>
        </w:rPr>
        <w:t>,</w:t>
      </w:r>
      <w:r w:rsidRPr="003B422F">
        <w:rPr>
          <w:rFonts w:ascii="David" w:hAnsi="David" w:cs="David"/>
          <w:color w:val="000000"/>
          <w:sz w:val="24"/>
          <w:szCs w:val="24"/>
          <w:rtl/>
        </w:rPr>
        <w:t xml:space="preserve"> וכך נפסק </w:t>
      </w:r>
      <w:r w:rsidRPr="009128A0">
        <w:rPr>
          <w:rFonts w:ascii="David" w:hAnsi="David" w:cs="David"/>
          <w:color w:val="000000"/>
          <w:sz w:val="24"/>
          <w:szCs w:val="24"/>
          <w:rtl/>
        </w:rPr>
        <w:t>ברע"א 7148/98</w:t>
      </w:r>
      <w:r w:rsidRPr="003B422F">
        <w:rPr>
          <w:rFonts w:ascii="David" w:hAnsi="David" w:cs="David"/>
          <w:b/>
          <w:bCs/>
          <w:color w:val="000000"/>
          <w:sz w:val="24"/>
          <w:szCs w:val="24"/>
          <w:rtl/>
        </w:rPr>
        <w:t xml:space="preserve"> עזרא נ' זלזניאק </w:t>
      </w:r>
      <w:r w:rsidRPr="009128A0">
        <w:rPr>
          <w:rFonts w:ascii="David" w:hAnsi="David" w:cs="David"/>
          <w:color w:val="000000"/>
          <w:sz w:val="24"/>
          <w:szCs w:val="24"/>
          <w:rtl/>
        </w:rPr>
        <w:t>פ"ד נ"ג (1) 337</w:t>
      </w:r>
      <w:r w:rsidRPr="003B422F">
        <w:rPr>
          <w:rFonts w:ascii="David" w:hAnsi="David" w:cs="David"/>
          <w:color w:val="000000"/>
          <w:sz w:val="24"/>
          <w:szCs w:val="24"/>
          <w:rtl/>
        </w:rPr>
        <w:t>:</w:t>
      </w:r>
      <w:r w:rsidR="009128A0">
        <w:rPr>
          <w:rFonts w:ascii="David" w:hAnsi="David" w:cs="David" w:hint="cs"/>
          <w:color w:val="000000"/>
          <w:sz w:val="24"/>
          <w:szCs w:val="24"/>
          <w:rtl/>
        </w:rPr>
        <w:t xml:space="preserve"> </w:t>
      </w:r>
      <w:r w:rsidRPr="009128A0">
        <w:rPr>
          <w:rFonts w:ascii="David" w:hAnsi="David" w:cs="David"/>
          <w:b/>
          <w:bCs/>
          <w:color w:val="000000"/>
          <w:sz w:val="24"/>
          <w:szCs w:val="24"/>
          <w:rtl/>
        </w:rPr>
        <w:t>"... באותם מקרים בהם צד להסכם מבקש לבטל את פסק הדין שנתן תוקף להסכם, נקבעו שני מסלולי - ביטול בהתאם לסוג העילה בגינה מתבקש הביטול ואיפיונה "הסכמות" או "שיפוטית".</w:t>
      </w:r>
      <w:r w:rsidR="009128A0">
        <w:rPr>
          <w:rFonts w:ascii="David" w:hAnsi="David" w:cs="David" w:hint="cs"/>
          <w:b/>
          <w:bCs/>
          <w:color w:val="000000"/>
          <w:sz w:val="24"/>
          <w:szCs w:val="24"/>
          <w:rtl/>
        </w:rPr>
        <w:t xml:space="preserve"> </w:t>
      </w:r>
      <w:r w:rsidRPr="009128A0">
        <w:rPr>
          <w:rFonts w:ascii="David" w:hAnsi="David" w:cs="David"/>
          <w:b/>
          <w:bCs/>
          <w:color w:val="000000"/>
          <w:sz w:val="24"/>
          <w:szCs w:val="24"/>
          <w:rtl/>
        </w:rPr>
        <w:t>כאשר צד להסכם מנסה לבטל את פסק הדין מחמת פגם הקשור להסכם עצמו (כמו טעות, הטעיה, אי-חוקיות, הפרה או שינוי מהותי בנסיבות) הפן ה"ההסכמי" מאפשר לו להגיש תביעה חדשה שעילתה הפגם שנתגלה בהסכם. ע"י הגשת תביעה כזו, ממילא מתבקש ביטול פסק הדין... הפן השיפוטי - היינו האישור שניתן להסכם ע"י שופט כאשר צד מבקש לבטל את פסק הדין מחמת שנפל פגם בהליכי המשפט, בסדרי הדין, פתוחה בפניו הדרך לנקוט הליכי ערעור רגילים".</w:t>
      </w:r>
    </w:p>
    <w:p w:rsidR="009128A0" w:rsidRDefault="009128A0" w:rsidP="009128A0">
      <w:pPr>
        <w:pStyle w:val="ad"/>
        <w:spacing w:line="240" w:lineRule="auto"/>
        <w:ind w:left="368"/>
        <w:jc w:val="both"/>
        <w:rPr>
          <w:rFonts w:ascii="David" w:hAnsi="David" w:cs="David"/>
          <w:sz w:val="24"/>
          <w:szCs w:val="24"/>
        </w:rPr>
      </w:pPr>
    </w:p>
    <w:p w:rsidR="00E30C92" w:rsidRDefault="00A604AF" w:rsidP="00EE45CD">
      <w:pPr>
        <w:pStyle w:val="ad"/>
        <w:numPr>
          <w:ilvl w:val="0"/>
          <w:numId w:val="1"/>
        </w:numPr>
        <w:spacing w:line="360" w:lineRule="auto"/>
        <w:ind w:left="368" w:hanging="426"/>
        <w:jc w:val="both"/>
        <w:rPr>
          <w:rFonts w:ascii="David" w:hAnsi="David" w:cs="David"/>
          <w:sz w:val="24"/>
          <w:szCs w:val="24"/>
        </w:rPr>
      </w:pPr>
      <w:r>
        <w:rPr>
          <w:rFonts w:ascii="David" w:hAnsi="David" w:cs="David" w:hint="cs"/>
          <w:sz w:val="24"/>
          <w:szCs w:val="24"/>
          <w:rtl/>
        </w:rPr>
        <w:t xml:space="preserve">כפי שניתן לראות, טענותיו של התובע לביטול ההסכם, נעות בין טענות בפן ההסכמי לבין טענות בפן השיפוטי, והכל בהליך אחד. </w:t>
      </w:r>
    </w:p>
    <w:p w:rsidR="00E30C92" w:rsidRPr="00E30C92" w:rsidRDefault="00E30C92" w:rsidP="00E30C92">
      <w:pPr>
        <w:pStyle w:val="ad"/>
        <w:rPr>
          <w:rFonts w:ascii="David" w:hAnsi="David" w:cs="David"/>
          <w:sz w:val="24"/>
          <w:szCs w:val="24"/>
          <w:rtl/>
        </w:rPr>
      </w:pPr>
    </w:p>
    <w:p w:rsidR="00E30C92" w:rsidRPr="00E30C92" w:rsidRDefault="00A604AF" w:rsidP="00865CD3">
      <w:pPr>
        <w:pStyle w:val="ad"/>
        <w:numPr>
          <w:ilvl w:val="0"/>
          <w:numId w:val="1"/>
        </w:numPr>
        <w:spacing w:line="360" w:lineRule="auto"/>
        <w:ind w:left="368" w:hanging="426"/>
        <w:jc w:val="both"/>
        <w:rPr>
          <w:rFonts w:ascii="David" w:hAnsi="David" w:cs="David"/>
          <w:sz w:val="24"/>
          <w:szCs w:val="24"/>
        </w:rPr>
      </w:pPr>
      <w:r>
        <w:rPr>
          <w:rFonts w:ascii="David" w:hAnsi="David" w:cs="David" w:hint="cs"/>
          <w:sz w:val="24"/>
          <w:szCs w:val="24"/>
          <w:rtl/>
        </w:rPr>
        <w:t xml:space="preserve">כאמור, טענות בפן השיפוטי יש להגיש במסגרת ערעור, </w:t>
      </w:r>
      <w:r w:rsidR="00E30C92">
        <w:rPr>
          <w:rFonts w:ascii="David" w:hAnsi="David" w:cs="David" w:hint="cs"/>
          <w:sz w:val="24"/>
          <w:szCs w:val="24"/>
          <w:rtl/>
        </w:rPr>
        <w:t>ובמקרה דנן על אף</w:t>
      </w:r>
      <w:r w:rsidR="00865CD3">
        <w:rPr>
          <w:rFonts w:ascii="David" w:hAnsi="David" w:cs="David" w:hint="cs"/>
          <w:sz w:val="24"/>
          <w:szCs w:val="24"/>
          <w:rtl/>
        </w:rPr>
        <w:t xml:space="preserve"> שנטענו </w:t>
      </w:r>
      <w:r w:rsidR="00E30C92">
        <w:rPr>
          <w:rFonts w:ascii="David" w:hAnsi="David" w:cs="David" w:hint="cs"/>
          <w:sz w:val="24"/>
          <w:szCs w:val="24"/>
          <w:rtl/>
        </w:rPr>
        <w:t xml:space="preserve">טענות מהפן השיפוטי, </w:t>
      </w:r>
      <w:r w:rsidR="00865CD3">
        <w:rPr>
          <w:rFonts w:ascii="David" w:hAnsi="David" w:cs="David" w:hint="cs"/>
          <w:sz w:val="24"/>
          <w:szCs w:val="24"/>
          <w:rtl/>
        </w:rPr>
        <w:t xml:space="preserve">בחר התובע שלא להגיש </w:t>
      </w:r>
      <w:r w:rsidR="00E30C92">
        <w:rPr>
          <w:rFonts w:ascii="David" w:hAnsi="David" w:cs="David" w:hint="cs"/>
          <w:sz w:val="24"/>
          <w:szCs w:val="24"/>
          <w:rtl/>
        </w:rPr>
        <w:t xml:space="preserve">ערעור. </w:t>
      </w:r>
      <w:r w:rsidR="00E30C92" w:rsidRPr="00E30C92">
        <w:rPr>
          <w:rFonts w:ascii="David" w:hAnsi="David" w:cs="David"/>
          <w:sz w:val="24"/>
          <w:szCs w:val="24"/>
          <w:rtl/>
        </w:rPr>
        <w:t xml:space="preserve">בע"א 116/82 </w:t>
      </w:r>
      <w:r w:rsidR="00E30C92" w:rsidRPr="00E30C92">
        <w:rPr>
          <w:rFonts w:ascii="David" w:hAnsi="David" w:cs="David"/>
          <w:b/>
          <w:bCs/>
          <w:sz w:val="24"/>
          <w:szCs w:val="24"/>
          <w:rtl/>
        </w:rPr>
        <w:t>עמיקם לבנת נ' יצחק טולידאנו</w:t>
      </w:r>
      <w:r w:rsidR="00E30C92" w:rsidRPr="00E30C92">
        <w:rPr>
          <w:rFonts w:ascii="David" w:hAnsi="David" w:cs="David"/>
          <w:sz w:val="24"/>
          <w:szCs w:val="24"/>
          <w:rtl/>
        </w:rPr>
        <w:t>, פ"ד לט(2) 729, 732 (15.7.1985) נקבע</w:t>
      </w:r>
      <w:r w:rsidR="00E30C92" w:rsidRPr="00E30C92">
        <w:rPr>
          <w:rFonts w:ascii="David" w:hAnsi="David" w:cs="David"/>
          <w:sz w:val="24"/>
          <w:szCs w:val="24"/>
        </w:rPr>
        <w:t>:</w:t>
      </w:r>
      <w:r w:rsidR="00E30C92">
        <w:rPr>
          <w:rFonts w:ascii="David" w:hAnsi="David" w:cs="David" w:hint="cs"/>
          <w:sz w:val="24"/>
          <w:szCs w:val="24"/>
          <w:rtl/>
        </w:rPr>
        <w:t xml:space="preserve"> "</w:t>
      </w:r>
      <w:r w:rsidR="00E30C92" w:rsidRPr="00E30C92">
        <w:rPr>
          <w:rFonts w:ascii="David" w:hAnsi="David" w:cs="David"/>
          <w:b/>
          <w:bCs/>
          <w:sz w:val="24"/>
          <w:szCs w:val="24"/>
          <w:rtl/>
        </w:rPr>
        <w:t xml:space="preserve">כאמור לעיל, פסק הדין שאושר בהסכמה בין בעלי הדין נושא עמו אופי של הסכם ואופי של פסק דין. הוא מורכב משני מרכיבים, והם ההסכם בין הצדדים </w:t>
      </w:r>
      <w:r w:rsidR="00E30C92">
        <w:rPr>
          <w:rFonts w:ascii="David" w:hAnsi="David" w:cs="David"/>
          <w:b/>
          <w:bCs/>
          <w:sz w:val="24"/>
          <w:szCs w:val="24"/>
          <w:rtl/>
        </w:rPr>
        <w:t>וכן האישור בניתן לו על ידי השופ</w:t>
      </w:r>
      <w:r w:rsidR="00E30C92">
        <w:rPr>
          <w:rFonts w:ascii="David" w:hAnsi="David" w:cs="David" w:hint="cs"/>
          <w:b/>
          <w:bCs/>
          <w:sz w:val="24"/>
          <w:szCs w:val="24"/>
          <w:rtl/>
        </w:rPr>
        <w:t xml:space="preserve">ט. </w:t>
      </w:r>
      <w:r w:rsidR="00E30C92" w:rsidRPr="00E30C92">
        <w:rPr>
          <w:rFonts w:ascii="David" w:hAnsi="David" w:cs="David"/>
          <w:b/>
          <w:bCs/>
          <w:sz w:val="24"/>
          <w:szCs w:val="24"/>
          <w:rtl/>
        </w:rPr>
        <w:t>אם צד טוען, שנפל פגם בהליכי המשפט, לרבות סדרי הדין או בפסק הדין (כולל מקרה בו נטען כי פסק הדין ניתן רק בלחצו של בית משפט), יגיש ערעור לערכאה גבוהה יותר</w:t>
      </w:r>
      <w:r w:rsidR="00E30C92" w:rsidRPr="00E30C92">
        <w:rPr>
          <w:rFonts w:ascii="David" w:hAnsi="David" w:cs="David"/>
          <w:b/>
          <w:bCs/>
          <w:sz w:val="24"/>
          <w:szCs w:val="24"/>
        </w:rPr>
        <w:t>.</w:t>
      </w:r>
      <w:r w:rsidR="00E30C92">
        <w:rPr>
          <w:rFonts w:ascii="David" w:hAnsi="David" w:cs="David"/>
          <w:b/>
          <w:bCs/>
          <w:sz w:val="24"/>
          <w:szCs w:val="24"/>
        </w:rPr>
        <w:t>"</w:t>
      </w:r>
      <w:r w:rsidR="00E30C92" w:rsidRPr="00E30C92">
        <w:rPr>
          <w:rFonts w:ascii="David" w:hAnsi="David" w:cs="David"/>
          <w:b/>
          <w:bCs/>
          <w:sz w:val="24"/>
          <w:szCs w:val="24"/>
        </w:rPr>
        <w:t> ...</w:t>
      </w:r>
    </w:p>
    <w:p w:rsidR="00031705" w:rsidRDefault="00031705" w:rsidP="000B479B">
      <w:pPr>
        <w:pStyle w:val="ad"/>
        <w:spacing w:line="240" w:lineRule="auto"/>
        <w:ind w:left="368"/>
        <w:jc w:val="both"/>
        <w:rPr>
          <w:rFonts w:ascii="David" w:hAnsi="David" w:cs="David"/>
          <w:sz w:val="24"/>
          <w:szCs w:val="24"/>
        </w:rPr>
      </w:pPr>
    </w:p>
    <w:p w:rsidR="00EE45CD" w:rsidRPr="00031705" w:rsidRDefault="00A604AF" w:rsidP="0003526D">
      <w:pPr>
        <w:pStyle w:val="ad"/>
        <w:numPr>
          <w:ilvl w:val="0"/>
          <w:numId w:val="1"/>
        </w:numPr>
        <w:spacing w:line="360" w:lineRule="auto"/>
        <w:ind w:left="368" w:hanging="426"/>
        <w:jc w:val="both"/>
        <w:rPr>
          <w:rFonts w:ascii="David" w:hAnsi="David" w:cs="David"/>
          <w:color w:val="000000"/>
          <w:sz w:val="24"/>
          <w:szCs w:val="24"/>
        </w:rPr>
      </w:pPr>
      <w:r w:rsidRPr="00031705">
        <w:rPr>
          <w:rFonts w:ascii="David" w:hAnsi="David" w:cs="David" w:hint="cs"/>
          <w:sz w:val="24"/>
          <w:szCs w:val="24"/>
          <w:rtl/>
        </w:rPr>
        <w:t>ו</w:t>
      </w:r>
      <w:r w:rsidR="00031705" w:rsidRPr="00031705">
        <w:rPr>
          <w:rFonts w:ascii="David" w:hAnsi="David" w:cs="David" w:hint="cs"/>
          <w:sz w:val="24"/>
          <w:szCs w:val="24"/>
          <w:rtl/>
        </w:rPr>
        <w:t xml:space="preserve">אילו </w:t>
      </w:r>
      <w:r w:rsidRPr="00031705">
        <w:rPr>
          <w:rFonts w:ascii="David" w:hAnsi="David" w:cs="David" w:hint="cs"/>
          <w:sz w:val="24"/>
          <w:szCs w:val="24"/>
          <w:rtl/>
        </w:rPr>
        <w:t xml:space="preserve">טענות בפן ההסכמי יש להגיש במסגרת תביעה חדשה </w:t>
      </w:r>
      <w:r w:rsidRPr="00031705">
        <w:rPr>
          <w:rFonts w:ascii="David" w:hAnsi="David" w:cs="David"/>
          <w:sz w:val="24"/>
          <w:szCs w:val="24"/>
          <w:rtl/>
        </w:rPr>
        <w:t>–</w:t>
      </w:r>
      <w:r w:rsidRPr="00031705">
        <w:rPr>
          <w:rFonts w:ascii="David" w:hAnsi="David" w:cs="David" w:hint="cs"/>
          <w:sz w:val="24"/>
          <w:szCs w:val="24"/>
          <w:rtl/>
        </w:rPr>
        <w:t xml:space="preserve"> כפי שנעשה במקרה דנן. </w:t>
      </w:r>
      <w:r w:rsidR="00031705" w:rsidRPr="00031705">
        <w:rPr>
          <w:rFonts w:ascii="David" w:hAnsi="David" w:cs="David" w:hint="cs"/>
          <w:sz w:val="24"/>
          <w:szCs w:val="24"/>
          <w:rtl/>
        </w:rPr>
        <w:t>אולם, ביטולו של פסק דין שניתן על סמך הסכמות הצדדים יתאפשר במקרים נדירים בלבד.</w:t>
      </w:r>
      <w:r w:rsidR="00031705">
        <w:rPr>
          <w:rFonts w:ascii="David" w:hAnsi="David" w:cs="David" w:hint="cs"/>
          <w:color w:val="000000"/>
          <w:sz w:val="24"/>
          <w:szCs w:val="24"/>
          <w:rtl/>
        </w:rPr>
        <w:t xml:space="preserve"> </w:t>
      </w:r>
      <w:r w:rsidR="00EE45CD" w:rsidRPr="00031705">
        <w:rPr>
          <w:rFonts w:ascii="David" w:hAnsi="David" w:cs="David" w:hint="cs"/>
          <w:color w:val="000000"/>
          <w:sz w:val="24"/>
          <w:szCs w:val="24"/>
          <w:rtl/>
        </w:rPr>
        <w:t>ב</w:t>
      </w:r>
      <w:r w:rsidR="00EE45CD" w:rsidRPr="00031705">
        <w:rPr>
          <w:rFonts w:ascii="David" w:hAnsi="David" w:cs="David"/>
          <w:color w:val="000000"/>
          <w:sz w:val="24"/>
          <w:szCs w:val="24"/>
          <w:rtl/>
        </w:rPr>
        <w:t>ע"א 11750/05</w:t>
      </w:r>
      <w:r w:rsidR="00EE45CD" w:rsidRPr="00031705">
        <w:rPr>
          <w:rFonts w:ascii="David" w:hAnsi="David" w:cs="David"/>
          <w:b/>
          <w:bCs/>
          <w:color w:val="000000"/>
          <w:sz w:val="24"/>
          <w:szCs w:val="24"/>
          <w:rtl/>
        </w:rPr>
        <w:t xml:space="preserve"> יעל שמר נ' בנק הפועלים בע"מ</w:t>
      </w:r>
      <w:r w:rsidR="00EE45CD" w:rsidRPr="00031705">
        <w:rPr>
          <w:rFonts w:ascii="David" w:hAnsi="David" w:cs="David"/>
          <w:color w:val="000000"/>
          <w:sz w:val="24"/>
          <w:szCs w:val="24"/>
          <w:rtl/>
        </w:rPr>
        <w:t xml:space="preserve"> (פורסם </w:t>
      </w:r>
      <w:r w:rsidR="00EE45CD" w:rsidRPr="00031705">
        <w:rPr>
          <w:rFonts w:ascii="David" w:hAnsi="David" w:cs="David" w:hint="cs"/>
          <w:color w:val="000000"/>
          <w:sz w:val="24"/>
          <w:szCs w:val="24"/>
          <w:rtl/>
        </w:rPr>
        <w:t xml:space="preserve">בנבו) נקבע כי </w:t>
      </w:r>
      <w:r w:rsidR="00EE45CD" w:rsidRPr="00031705">
        <w:rPr>
          <w:rFonts w:ascii="David" w:hAnsi="David" w:cs="David"/>
          <w:color w:val="000000"/>
          <w:sz w:val="24"/>
          <w:szCs w:val="24"/>
          <w:rtl/>
        </w:rPr>
        <w:t>"</w:t>
      </w:r>
      <w:r w:rsidR="00EE45CD" w:rsidRPr="00031705">
        <w:rPr>
          <w:rFonts w:ascii="David" w:hAnsi="David" w:cs="David"/>
          <w:b/>
          <w:bCs/>
          <w:color w:val="000000"/>
          <w:sz w:val="24"/>
          <w:szCs w:val="24"/>
          <w:rtl/>
        </w:rPr>
        <w:t>אף שניתן לבטל הסכם פשרה שקיבל תוקף של פסק דין, אם נפל פגם בכריתתו, על בית המשפט לנהוג משנה - זהירות בעניין זה, ולהשתכנע כי קיימים טעמים כבדי - משקל המצדיקים את הביטול"</w:t>
      </w:r>
      <w:r w:rsidR="00EE45CD" w:rsidRPr="00031705">
        <w:rPr>
          <w:rFonts w:ascii="David" w:hAnsi="David" w:cs="David" w:hint="cs"/>
          <w:color w:val="000000"/>
          <w:sz w:val="24"/>
          <w:szCs w:val="24"/>
          <w:rtl/>
        </w:rPr>
        <w:t>.</w:t>
      </w:r>
    </w:p>
    <w:p w:rsidR="00EE45CD" w:rsidRPr="00EE45CD" w:rsidRDefault="00EE45CD" w:rsidP="00EE45CD">
      <w:pPr>
        <w:pStyle w:val="ad"/>
        <w:rPr>
          <w:rFonts w:ascii="David" w:hAnsi="David" w:cs="David"/>
          <w:color w:val="000000"/>
          <w:sz w:val="24"/>
          <w:szCs w:val="24"/>
          <w:rtl/>
        </w:rPr>
      </w:pPr>
    </w:p>
    <w:p w:rsidR="009128A0" w:rsidRDefault="00EE45CD" w:rsidP="00EE45CD">
      <w:pPr>
        <w:pStyle w:val="ad"/>
        <w:numPr>
          <w:ilvl w:val="0"/>
          <w:numId w:val="1"/>
        </w:numPr>
        <w:spacing w:line="360" w:lineRule="auto"/>
        <w:ind w:left="368" w:hanging="426"/>
        <w:jc w:val="both"/>
        <w:rPr>
          <w:rFonts w:ascii="David" w:hAnsi="David" w:cs="David"/>
          <w:color w:val="000000"/>
          <w:sz w:val="24"/>
          <w:szCs w:val="24"/>
        </w:rPr>
      </w:pPr>
      <w:r w:rsidRPr="009128A0">
        <w:rPr>
          <w:rFonts w:ascii="David" w:hAnsi="David" w:cs="David" w:hint="cs"/>
          <w:color w:val="000000"/>
          <w:sz w:val="24"/>
          <w:szCs w:val="24"/>
          <w:rtl/>
        </w:rPr>
        <w:t xml:space="preserve">יתר על כן, הפסיקה קבעה כי יש לייחס משקל רב לעיקרון סופיות הדיון </w:t>
      </w:r>
      <w:r w:rsidRPr="009128A0">
        <w:rPr>
          <w:rFonts w:ascii="David" w:hAnsi="David" w:cs="David"/>
          <w:color w:val="000000"/>
          <w:sz w:val="24"/>
          <w:szCs w:val="24"/>
          <w:rtl/>
        </w:rPr>
        <w:t>של הסכמי פשרה שקיבלו תוקף של פסק דין</w:t>
      </w:r>
      <w:r w:rsidR="009128A0">
        <w:rPr>
          <w:rFonts w:ascii="David" w:hAnsi="David" w:cs="David" w:hint="cs"/>
          <w:color w:val="000000"/>
          <w:sz w:val="24"/>
          <w:szCs w:val="24"/>
          <w:rtl/>
        </w:rPr>
        <w:t>,</w:t>
      </w:r>
      <w:r w:rsidRPr="009128A0">
        <w:rPr>
          <w:rFonts w:ascii="David" w:hAnsi="David" w:cs="David"/>
          <w:color w:val="000000"/>
          <w:sz w:val="24"/>
          <w:szCs w:val="24"/>
          <w:rtl/>
        </w:rPr>
        <w:t xml:space="preserve"> על מנת להגשים את ציפיותיהם הסבירות של הצדדים להם, ובשל החשיבות הרבה שיש לייחס לערך של סופיות הסכם הפשרה כהסדר המסיים את הסכסוך בין הצדדים. ראו: ע"א 2495/99 </w:t>
      </w:r>
      <w:r w:rsidRPr="009128A0">
        <w:rPr>
          <w:rFonts w:ascii="David" w:hAnsi="David" w:cs="David"/>
          <w:b/>
          <w:bCs/>
          <w:color w:val="000000"/>
          <w:sz w:val="24"/>
          <w:szCs w:val="24"/>
          <w:rtl/>
        </w:rPr>
        <w:t>בן לולי נ' אטראש</w:t>
      </w:r>
      <w:r w:rsidRPr="009128A0">
        <w:rPr>
          <w:rFonts w:ascii="David" w:hAnsi="David" w:cs="David"/>
          <w:color w:val="000000"/>
          <w:sz w:val="24"/>
          <w:szCs w:val="24"/>
          <w:rtl/>
        </w:rPr>
        <w:t xml:space="preserve">, פ"ד נ"א (1) 577; רע"א 4976/00 </w:t>
      </w:r>
      <w:r w:rsidRPr="009128A0">
        <w:rPr>
          <w:rFonts w:ascii="David" w:hAnsi="David" w:cs="David"/>
          <w:b/>
          <w:bCs/>
          <w:color w:val="000000"/>
          <w:sz w:val="24"/>
          <w:szCs w:val="24"/>
          <w:rtl/>
        </w:rPr>
        <w:t>בית הפסנתר נ' מור</w:t>
      </w:r>
      <w:r w:rsidRPr="009128A0">
        <w:rPr>
          <w:rFonts w:ascii="David" w:hAnsi="David" w:cs="David"/>
          <w:color w:val="000000"/>
          <w:sz w:val="24"/>
          <w:szCs w:val="24"/>
          <w:rtl/>
        </w:rPr>
        <w:t xml:space="preserve">, פ"ד נ"ו 577; ע"א 5914/03 </w:t>
      </w:r>
      <w:r w:rsidRPr="009128A0">
        <w:rPr>
          <w:rFonts w:ascii="David" w:hAnsi="David" w:cs="David"/>
          <w:b/>
          <w:bCs/>
          <w:color w:val="000000"/>
          <w:sz w:val="24"/>
          <w:szCs w:val="24"/>
          <w:rtl/>
        </w:rPr>
        <w:t>שוחט נ' כלל</w:t>
      </w:r>
      <w:r w:rsidRPr="009128A0">
        <w:rPr>
          <w:rFonts w:ascii="David" w:hAnsi="David" w:cs="David"/>
          <w:color w:val="000000"/>
          <w:sz w:val="24"/>
          <w:szCs w:val="24"/>
          <w:rtl/>
        </w:rPr>
        <w:t> (פורסם בנבו). </w:t>
      </w:r>
    </w:p>
    <w:p w:rsidR="009128A0" w:rsidRPr="009128A0" w:rsidRDefault="009128A0" w:rsidP="009128A0">
      <w:pPr>
        <w:pStyle w:val="ad"/>
        <w:rPr>
          <w:rFonts w:ascii="David" w:hAnsi="David" w:cs="David"/>
          <w:color w:val="000000"/>
          <w:sz w:val="24"/>
          <w:szCs w:val="24"/>
          <w:rtl/>
        </w:rPr>
      </w:pPr>
    </w:p>
    <w:p w:rsidR="00EE45CD" w:rsidRPr="009128A0" w:rsidRDefault="00EE45CD" w:rsidP="009128A0">
      <w:pPr>
        <w:pStyle w:val="ad"/>
        <w:numPr>
          <w:ilvl w:val="0"/>
          <w:numId w:val="1"/>
        </w:numPr>
        <w:spacing w:line="360" w:lineRule="auto"/>
        <w:ind w:left="368" w:hanging="426"/>
        <w:jc w:val="both"/>
        <w:rPr>
          <w:rFonts w:ascii="Arial" w:hAnsi="Arial" w:cs="Arial"/>
          <w:color w:val="000000"/>
          <w:sz w:val="21"/>
          <w:szCs w:val="21"/>
        </w:rPr>
      </w:pPr>
      <w:r w:rsidRPr="009128A0">
        <w:rPr>
          <w:rFonts w:ascii="David" w:hAnsi="David" w:cs="David"/>
          <w:color w:val="000000"/>
          <w:sz w:val="24"/>
          <w:szCs w:val="24"/>
          <w:rtl/>
        </w:rPr>
        <w:t>הפסיקה הוסיפה בהקשר זה כי </w:t>
      </w:r>
      <w:r w:rsidRPr="009128A0">
        <w:rPr>
          <w:rFonts w:ascii="David" w:hAnsi="David" w:cs="David"/>
          <w:b/>
          <w:bCs/>
          <w:color w:val="000000"/>
          <w:sz w:val="24"/>
          <w:szCs w:val="24"/>
          <w:rtl/>
        </w:rPr>
        <w:t>"... אכן גישה אחרת גמישה יותר, שתאפשר ביטול הסכם הפשרה כל אימת שמי מן הצדדים יסבור בדיעבד שהפשרה לא הייתה מוצלחת או כדאית מבחינתו, אינה מתיישבת עם דיני החוזים הכלליים לפיהם טעות בכדאיות העיסקה איננה עולה כדי פגם בכריתת החוזה, ואינה מזכה את הצד שטעה - בביטולו.</w:t>
      </w:r>
      <w:r w:rsidRPr="009128A0">
        <w:rPr>
          <w:rFonts w:ascii="David" w:hAnsi="David" w:cs="David" w:hint="cs"/>
          <w:b/>
          <w:bCs/>
          <w:color w:val="000000"/>
          <w:sz w:val="24"/>
          <w:szCs w:val="24"/>
          <w:rtl/>
        </w:rPr>
        <w:t xml:space="preserve"> </w:t>
      </w:r>
      <w:r w:rsidRPr="009128A0">
        <w:rPr>
          <w:rFonts w:ascii="David" w:hAnsi="David" w:cs="David"/>
          <w:b/>
          <w:bCs/>
          <w:color w:val="000000"/>
          <w:sz w:val="24"/>
          <w:szCs w:val="24"/>
          <w:rtl/>
        </w:rPr>
        <w:t xml:space="preserve">גישה כזו אף חותרת תחת יסודותיו של מוסד הפשרה, היא מערערת את הוודאות ואת הסופיות שהן מסימניו המובהקים של המוסד ועלולה להרתיע מתדיינים מלסיים בדרך זו את המחלוקות שביניהם, בכך יצא נפסד האינטרס הציבורי המחייב לפעול, ככל שהדבר ניתן, לקידום </w:t>
      </w:r>
      <w:r w:rsidR="009128A0">
        <w:rPr>
          <w:rFonts w:ascii="David" w:hAnsi="David" w:cs="David"/>
          <w:b/>
          <w:bCs/>
          <w:color w:val="000000"/>
          <w:sz w:val="24"/>
          <w:szCs w:val="24"/>
          <w:rtl/>
        </w:rPr>
        <w:t>ולעידוד פשרות בהליכים משפטיים"</w:t>
      </w:r>
      <w:r w:rsidRPr="009128A0">
        <w:rPr>
          <w:rFonts w:ascii="David" w:hAnsi="David" w:cs="David"/>
          <w:color w:val="000000"/>
          <w:sz w:val="24"/>
          <w:szCs w:val="24"/>
          <w:rtl/>
        </w:rPr>
        <w:t> </w:t>
      </w:r>
      <w:r w:rsidR="009128A0">
        <w:rPr>
          <w:rFonts w:ascii="David" w:hAnsi="David" w:cs="David" w:hint="cs"/>
          <w:color w:val="000000"/>
          <w:sz w:val="24"/>
          <w:szCs w:val="24"/>
          <w:rtl/>
        </w:rPr>
        <w:t>(</w:t>
      </w:r>
      <w:r w:rsidR="009128A0" w:rsidRPr="009128A0">
        <w:rPr>
          <w:rFonts w:ascii="David" w:hAnsi="David" w:cs="David"/>
          <w:color w:val="000000"/>
          <w:sz w:val="24"/>
          <w:szCs w:val="24"/>
          <w:rtl/>
        </w:rPr>
        <w:t>ע"א 11750/05</w:t>
      </w:r>
      <w:r w:rsidR="009128A0" w:rsidRPr="00EE45CD">
        <w:rPr>
          <w:rFonts w:ascii="David" w:hAnsi="David" w:cs="David"/>
          <w:b/>
          <w:bCs/>
          <w:color w:val="000000"/>
          <w:sz w:val="24"/>
          <w:szCs w:val="24"/>
          <w:rtl/>
        </w:rPr>
        <w:t xml:space="preserve"> יעל שמר נ' בנק הפועלים בע"מ</w:t>
      </w:r>
      <w:r w:rsidR="009128A0" w:rsidRPr="00EE45CD">
        <w:rPr>
          <w:rFonts w:ascii="David" w:hAnsi="David" w:cs="David"/>
          <w:color w:val="000000"/>
          <w:sz w:val="24"/>
          <w:szCs w:val="24"/>
          <w:rtl/>
        </w:rPr>
        <w:t xml:space="preserve"> (פורסם </w:t>
      </w:r>
      <w:r w:rsidR="009128A0">
        <w:rPr>
          <w:rFonts w:ascii="David" w:hAnsi="David" w:cs="David" w:hint="cs"/>
          <w:color w:val="000000"/>
          <w:sz w:val="24"/>
          <w:szCs w:val="24"/>
          <w:rtl/>
        </w:rPr>
        <w:t>בנבו)).</w:t>
      </w:r>
    </w:p>
    <w:p w:rsidR="009128A0" w:rsidRPr="009128A0" w:rsidRDefault="009128A0" w:rsidP="009128A0">
      <w:pPr>
        <w:pStyle w:val="ad"/>
        <w:rPr>
          <w:rFonts w:ascii="Arial" w:hAnsi="Arial" w:cs="Arial"/>
          <w:color w:val="000000"/>
          <w:sz w:val="21"/>
          <w:szCs w:val="21"/>
          <w:rtl/>
        </w:rPr>
      </w:pPr>
    </w:p>
    <w:p w:rsidR="00EE45CD" w:rsidRDefault="00EE45CD" w:rsidP="00865CD3">
      <w:pPr>
        <w:pStyle w:val="ad"/>
        <w:numPr>
          <w:ilvl w:val="0"/>
          <w:numId w:val="1"/>
        </w:numPr>
        <w:spacing w:line="360" w:lineRule="auto"/>
        <w:ind w:left="368" w:hanging="426"/>
        <w:jc w:val="both"/>
        <w:rPr>
          <w:rFonts w:ascii="David" w:hAnsi="David" w:cs="David"/>
          <w:sz w:val="24"/>
          <w:szCs w:val="24"/>
        </w:rPr>
      </w:pPr>
      <w:r>
        <w:rPr>
          <w:rFonts w:ascii="David" w:hAnsi="David" w:cs="David"/>
          <w:sz w:val="24"/>
          <w:szCs w:val="24"/>
          <w:rtl/>
        </w:rPr>
        <w:t xml:space="preserve">בית המשפט מתרשם כי התובע מצטער על ההסכמה שנתן לגבי מכירת בית המגורים, ויכול להיות שנתן אותה בטרם </w:t>
      </w:r>
      <w:r>
        <w:rPr>
          <w:rFonts w:ascii="David" w:hAnsi="David" w:cs="David" w:hint="cs"/>
          <w:sz w:val="24"/>
          <w:szCs w:val="24"/>
          <w:rtl/>
        </w:rPr>
        <w:t>ש</w:t>
      </w:r>
      <w:r>
        <w:rPr>
          <w:rFonts w:ascii="David" w:hAnsi="David" w:cs="David"/>
          <w:sz w:val="24"/>
          <w:szCs w:val="24"/>
          <w:rtl/>
        </w:rPr>
        <w:t xml:space="preserve">שקל לעומק את תוצאתה, ועתה, כאשר מבין את משמעותה, מתחרט. </w:t>
      </w:r>
      <w:r w:rsidR="00865CD3">
        <w:rPr>
          <w:rFonts w:ascii="David" w:hAnsi="David" w:cs="David" w:hint="cs"/>
          <w:sz w:val="24"/>
          <w:szCs w:val="24"/>
          <w:rtl/>
        </w:rPr>
        <w:t xml:space="preserve">הגעה להסכמות מגלמת בתוכה סיכונים וסיכויים, בוודאי כאשר מדובר במספר הסכמות יחדיו. </w:t>
      </w:r>
      <w:r>
        <w:rPr>
          <w:rFonts w:ascii="David" w:hAnsi="David" w:cs="David"/>
          <w:sz w:val="24"/>
          <w:szCs w:val="24"/>
          <w:rtl/>
        </w:rPr>
        <w:t>יחד עם זאת כידוע, טעות בכדאיות העסקה אינה עילה לביטולה.</w:t>
      </w:r>
      <w:r w:rsidR="00FC79E5">
        <w:rPr>
          <w:rFonts w:ascii="David" w:hAnsi="David" w:cs="David" w:hint="cs"/>
          <w:sz w:val="24"/>
          <w:szCs w:val="24"/>
          <w:rtl/>
        </w:rPr>
        <w:t xml:space="preserve"> </w:t>
      </w:r>
      <w:r>
        <w:rPr>
          <w:rFonts w:ascii="David" w:hAnsi="David" w:cs="David"/>
          <w:sz w:val="24"/>
          <w:szCs w:val="24"/>
          <w:rtl/>
        </w:rPr>
        <w:t xml:space="preserve">בית המשפט מצא את עדותו של התובע כלא אמינה, בלא מעט מהסוגיות, כפי שמפורט מעלה, ונראה כי התובע ניסה בעדותו "לתקן" שלא לומר, ליצור מציאות אחרת, למעשים עליהם מתחרט. </w:t>
      </w:r>
    </w:p>
    <w:p w:rsidR="00EE45CD" w:rsidRDefault="00EE45CD" w:rsidP="00EE45CD">
      <w:pPr>
        <w:pStyle w:val="ad"/>
        <w:rPr>
          <w:rFonts w:ascii="David" w:hAnsi="David" w:cs="David"/>
          <w:sz w:val="24"/>
          <w:szCs w:val="24"/>
        </w:rPr>
      </w:pPr>
    </w:p>
    <w:p w:rsidR="009128A0" w:rsidRDefault="00EE45CD" w:rsidP="009128A0">
      <w:pPr>
        <w:pStyle w:val="ad"/>
        <w:numPr>
          <w:ilvl w:val="0"/>
          <w:numId w:val="1"/>
        </w:numPr>
        <w:spacing w:line="360" w:lineRule="auto"/>
        <w:ind w:left="368" w:hanging="426"/>
        <w:jc w:val="both"/>
        <w:rPr>
          <w:rFonts w:ascii="David" w:hAnsi="David" w:cs="David"/>
          <w:sz w:val="24"/>
          <w:szCs w:val="24"/>
        </w:rPr>
      </w:pPr>
      <w:r>
        <w:rPr>
          <w:rFonts w:ascii="David" w:hAnsi="David" w:cs="David"/>
          <w:sz w:val="24"/>
          <w:szCs w:val="24"/>
          <w:rtl/>
        </w:rPr>
        <w:t xml:space="preserve">ביסוס נוסף להתרשמות זו ניתן ללמוד מהעובדה שמחד טוען התובע כי לא שכר את עו"ד </w:t>
      </w:r>
      <w:r w:rsidR="00F37117">
        <w:rPr>
          <w:rFonts w:ascii="David" w:hAnsi="David" w:cs="David"/>
          <w:sz w:val="24"/>
          <w:szCs w:val="24"/>
          <w:rtl/>
        </w:rPr>
        <w:t>ב' ז'</w:t>
      </w:r>
      <w:r>
        <w:rPr>
          <w:rFonts w:ascii="David" w:hAnsi="David" w:cs="David"/>
          <w:sz w:val="24"/>
          <w:szCs w:val="24"/>
          <w:rtl/>
        </w:rPr>
        <w:t xml:space="preserve"> לשום ענין מלבד צו ההגנה, ומאידך, בין יתר ההסכמות שניתן להן תוקף של פסק דין יש הסכמות לענין הילדים, לגביהן אין לתובע תלונות כנגד עורך דין </w:t>
      </w:r>
      <w:r w:rsidR="00F37117">
        <w:rPr>
          <w:rFonts w:ascii="David" w:hAnsi="David" w:cs="David"/>
          <w:sz w:val="24"/>
          <w:szCs w:val="24"/>
          <w:rtl/>
        </w:rPr>
        <w:t>ז'</w:t>
      </w:r>
      <w:r>
        <w:rPr>
          <w:rFonts w:ascii="David" w:hAnsi="David" w:cs="David"/>
          <w:sz w:val="24"/>
          <w:szCs w:val="24"/>
          <w:rtl/>
        </w:rPr>
        <w:t xml:space="preserve"> (</w:t>
      </w:r>
      <w:r>
        <w:rPr>
          <w:rFonts w:ascii="David" w:hAnsi="David" w:cs="David" w:hint="cs"/>
          <w:sz w:val="24"/>
          <w:szCs w:val="24"/>
          <w:rtl/>
        </w:rPr>
        <w:t xml:space="preserve">ראו: </w:t>
      </w:r>
      <w:r>
        <w:rPr>
          <w:rFonts w:ascii="David" w:hAnsi="David" w:cs="David"/>
          <w:sz w:val="24"/>
          <w:szCs w:val="24"/>
          <w:rtl/>
        </w:rPr>
        <w:t xml:space="preserve">פרוטוקול דיון מיום 11.9.24 עמוד 52 שורות 5-28). ואם לא די בכך, גם לאחר מספר ימים ממשיך התובע לפנות לעו"ד </w:t>
      </w:r>
      <w:r w:rsidR="00F37117">
        <w:rPr>
          <w:rFonts w:ascii="David" w:hAnsi="David" w:cs="David"/>
          <w:sz w:val="24"/>
          <w:szCs w:val="24"/>
          <w:rtl/>
        </w:rPr>
        <w:t>ב' ז'</w:t>
      </w:r>
      <w:r>
        <w:rPr>
          <w:rFonts w:ascii="David" w:hAnsi="David" w:cs="David"/>
          <w:sz w:val="24"/>
          <w:szCs w:val="24"/>
          <w:rtl/>
        </w:rPr>
        <w:t xml:space="preserve"> בשאלות הקשורות להסכמות בענין הילדים ומעיד כי לא היה שום צורך לטעון כנגד הסכמות אלה (</w:t>
      </w:r>
      <w:r>
        <w:rPr>
          <w:rFonts w:ascii="David" w:hAnsi="David" w:cs="David" w:hint="cs"/>
          <w:sz w:val="24"/>
          <w:szCs w:val="24"/>
          <w:rtl/>
        </w:rPr>
        <w:t xml:space="preserve">ראו: </w:t>
      </w:r>
      <w:r>
        <w:rPr>
          <w:rFonts w:ascii="David" w:hAnsi="David" w:cs="David"/>
          <w:sz w:val="24"/>
          <w:szCs w:val="24"/>
          <w:rtl/>
        </w:rPr>
        <w:t>פרוטוקול דיון מיום 11.9.24 עמוד 48 שורות 14-21).</w:t>
      </w:r>
    </w:p>
    <w:p w:rsidR="009128A0" w:rsidRPr="009128A0" w:rsidRDefault="009128A0" w:rsidP="00D41A59">
      <w:pPr>
        <w:pStyle w:val="ad"/>
        <w:spacing w:line="240" w:lineRule="auto"/>
        <w:rPr>
          <w:rFonts w:ascii="David" w:hAnsi="David" w:cs="David"/>
          <w:sz w:val="24"/>
          <w:szCs w:val="24"/>
          <w:rtl/>
        </w:rPr>
      </w:pPr>
    </w:p>
    <w:p w:rsidR="009D7608" w:rsidRDefault="00877F23" w:rsidP="00D41A59">
      <w:pPr>
        <w:pStyle w:val="ad"/>
        <w:numPr>
          <w:ilvl w:val="0"/>
          <w:numId w:val="1"/>
        </w:numPr>
        <w:spacing w:line="360" w:lineRule="auto"/>
        <w:ind w:left="368" w:hanging="426"/>
        <w:jc w:val="both"/>
        <w:rPr>
          <w:rFonts w:ascii="David" w:hAnsi="David" w:cs="David"/>
          <w:sz w:val="24"/>
          <w:szCs w:val="24"/>
        </w:rPr>
      </w:pPr>
      <w:r w:rsidRPr="00877F23">
        <w:rPr>
          <w:rFonts w:ascii="David" w:hAnsi="David" w:cs="David" w:hint="cs"/>
          <w:b/>
          <w:bCs/>
          <w:sz w:val="24"/>
          <w:szCs w:val="24"/>
          <w:rtl/>
        </w:rPr>
        <w:t>למעלה מן הצורך</w:t>
      </w:r>
      <w:r>
        <w:rPr>
          <w:rFonts w:ascii="David" w:hAnsi="David" w:cs="David" w:hint="cs"/>
          <w:sz w:val="24"/>
          <w:szCs w:val="24"/>
          <w:rtl/>
        </w:rPr>
        <w:t xml:space="preserve"> - </w:t>
      </w:r>
      <w:r w:rsidR="00970FD9" w:rsidRPr="009128A0">
        <w:rPr>
          <w:rFonts w:ascii="David" w:hAnsi="David" w:cs="David"/>
          <w:sz w:val="24"/>
          <w:szCs w:val="24"/>
          <w:rtl/>
        </w:rPr>
        <w:t xml:space="preserve">כאמור בפרק טענות התובע, בסיכומיו העלה התובע טענות חדשות לגמרי, שהמהוות הרחבת חזית. </w:t>
      </w:r>
      <w:r w:rsidR="009128A0" w:rsidRPr="009128A0">
        <w:rPr>
          <w:rFonts w:ascii="David" w:hAnsi="David" w:cs="David"/>
          <w:sz w:val="24"/>
          <w:szCs w:val="24"/>
          <w:rtl/>
        </w:rPr>
        <w:t xml:space="preserve">כידוע, הרחבת חזית </w:t>
      </w:r>
      <w:r w:rsidR="009128A0" w:rsidRPr="009128A0">
        <w:rPr>
          <w:rFonts w:ascii="David" w:hAnsi="David" w:cs="David" w:hint="cs"/>
          <w:sz w:val="24"/>
          <w:szCs w:val="24"/>
          <w:rtl/>
        </w:rPr>
        <w:t>היא אסורה</w:t>
      </w:r>
      <w:r w:rsidR="009128A0">
        <w:rPr>
          <w:rFonts w:ascii="David" w:hAnsi="David" w:cs="David" w:hint="cs"/>
          <w:sz w:val="24"/>
          <w:szCs w:val="24"/>
          <w:rtl/>
        </w:rPr>
        <w:t>,</w:t>
      </w:r>
      <w:r w:rsidR="009128A0" w:rsidRPr="009128A0">
        <w:rPr>
          <w:rFonts w:ascii="David" w:hAnsi="David" w:cs="David" w:hint="cs"/>
          <w:sz w:val="24"/>
          <w:szCs w:val="24"/>
          <w:rtl/>
        </w:rPr>
        <w:t xml:space="preserve"> שכן גדר המחלוקת בין הצדדים להליך משפטי נקבעת על פי כתבי הטע</w:t>
      </w:r>
      <w:r w:rsidR="009128A0">
        <w:rPr>
          <w:rFonts w:ascii="David" w:hAnsi="David" w:cs="David" w:hint="cs"/>
          <w:sz w:val="24"/>
          <w:szCs w:val="24"/>
          <w:rtl/>
        </w:rPr>
        <w:t>נ</w:t>
      </w:r>
      <w:r w:rsidR="009128A0" w:rsidRPr="009128A0">
        <w:rPr>
          <w:rFonts w:ascii="David" w:hAnsi="David" w:cs="David" w:hint="cs"/>
          <w:sz w:val="24"/>
          <w:szCs w:val="24"/>
          <w:rtl/>
        </w:rPr>
        <w:t>ות שלהם ואין לאפשר אות</w:t>
      </w:r>
      <w:r w:rsidR="009128A0">
        <w:rPr>
          <w:rFonts w:ascii="David" w:hAnsi="David" w:cs="David" w:hint="cs"/>
          <w:sz w:val="24"/>
          <w:szCs w:val="24"/>
          <w:rtl/>
        </w:rPr>
        <w:t>ה</w:t>
      </w:r>
      <w:r w:rsidR="009D7608">
        <w:rPr>
          <w:rFonts w:ascii="David" w:hAnsi="David" w:cs="David" w:hint="cs"/>
          <w:sz w:val="24"/>
          <w:szCs w:val="24"/>
          <w:rtl/>
        </w:rPr>
        <w:t xml:space="preserve">, </w:t>
      </w:r>
      <w:r w:rsidR="009128A0" w:rsidRPr="009128A0">
        <w:rPr>
          <w:rFonts w:ascii="David" w:hAnsi="David" w:cs="David" w:hint="cs"/>
          <w:sz w:val="24"/>
          <w:szCs w:val="24"/>
          <w:rtl/>
        </w:rPr>
        <w:t xml:space="preserve">בטח שלא בשלב הסיכומים. </w:t>
      </w:r>
      <w:r w:rsidR="009128A0" w:rsidRPr="009D7608">
        <w:rPr>
          <w:rFonts w:ascii="David" w:hAnsi="David" w:cs="David" w:hint="cs"/>
          <w:sz w:val="24"/>
          <w:szCs w:val="24"/>
          <w:rtl/>
        </w:rPr>
        <w:t>ראו בעניין זה</w:t>
      </w:r>
      <w:r w:rsidR="00D41A59">
        <w:rPr>
          <w:rFonts w:ascii="David" w:hAnsi="David" w:cs="David" w:hint="cs"/>
          <w:sz w:val="24"/>
          <w:szCs w:val="24"/>
          <w:rtl/>
        </w:rPr>
        <w:t>:</w:t>
      </w:r>
      <w:r w:rsidR="009128A0" w:rsidRPr="009D7608">
        <w:rPr>
          <w:rFonts w:ascii="David" w:hAnsi="David" w:cs="David" w:hint="cs"/>
          <w:sz w:val="24"/>
          <w:szCs w:val="24"/>
          <w:rtl/>
        </w:rPr>
        <w:t xml:space="preserve">  </w:t>
      </w:r>
      <w:r w:rsidR="009128A0" w:rsidRPr="009D7608">
        <w:rPr>
          <w:rFonts w:ascii="David" w:hAnsi="David" w:cs="David" w:hint="cs"/>
          <w:b/>
          <w:bCs/>
          <w:sz w:val="24"/>
          <w:szCs w:val="24"/>
          <w:rtl/>
        </w:rPr>
        <w:t xml:space="preserve">א.גורן, סוגיות בסדר דין אזרחי </w:t>
      </w:r>
      <w:r w:rsidR="009128A0" w:rsidRPr="009D7608">
        <w:rPr>
          <w:rFonts w:ascii="David" w:hAnsi="David" w:cs="David" w:hint="cs"/>
          <w:sz w:val="24"/>
          <w:szCs w:val="24"/>
          <w:rtl/>
        </w:rPr>
        <w:t xml:space="preserve">(מהדורה אחרת עשרה -2013), בעמ' 143; ע"א  6799/02 </w:t>
      </w:r>
      <w:r w:rsidR="009128A0" w:rsidRPr="009D7608">
        <w:rPr>
          <w:rFonts w:ascii="David" w:hAnsi="David" w:cs="David" w:hint="cs"/>
          <w:b/>
          <w:bCs/>
          <w:sz w:val="24"/>
          <w:szCs w:val="24"/>
          <w:rtl/>
        </w:rPr>
        <w:t>יולזרי נ' בנק המזרחי המאוחד בע"מ</w:t>
      </w:r>
      <w:r w:rsidR="009128A0" w:rsidRPr="009D7608">
        <w:rPr>
          <w:rFonts w:ascii="David" w:hAnsi="David" w:cs="David" w:hint="cs"/>
          <w:sz w:val="24"/>
          <w:szCs w:val="24"/>
          <w:rtl/>
        </w:rPr>
        <w:t xml:space="preserve">, פ"ד נח(2) 145. </w:t>
      </w:r>
    </w:p>
    <w:p w:rsidR="009D7608" w:rsidRDefault="009D7608" w:rsidP="009D7608">
      <w:pPr>
        <w:pStyle w:val="ad"/>
        <w:spacing w:line="240" w:lineRule="auto"/>
        <w:ind w:left="368"/>
        <w:jc w:val="both"/>
        <w:rPr>
          <w:rFonts w:ascii="David" w:hAnsi="David" w:cs="David"/>
          <w:sz w:val="24"/>
          <w:szCs w:val="24"/>
        </w:rPr>
      </w:pPr>
    </w:p>
    <w:p w:rsidR="009128A0" w:rsidRPr="009D7608" w:rsidRDefault="009128A0" w:rsidP="009D7608">
      <w:pPr>
        <w:pStyle w:val="ad"/>
        <w:numPr>
          <w:ilvl w:val="0"/>
          <w:numId w:val="1"/>
        </w:numPr>
        <w:spacing w:line="360" w:lineRule="auto"/>
        <w:ind w:left="368" w:hanging="426"/>
        <w:jc w:val="both"/>
        <w:rPr>
          <w:rFonts w:ascii="David" w:hAnsi="David" w:cs="David"/>
          <w:sz w:val="24"/>
          <w:szCs w:val="24"/>
        </w:rPr>
      </w:pPr>
      <w:r w:rsidRPr="009D7608">
        <w:rPr>
          <w:rFonts w:ascii="David" w:hAnsi="David" w:cs="David" w:hint="cs"/>
          <w:sz w:val="24"/>
          <w:szCs w:val="24"/>
          <w:rtl/>
        </w:rPr>
        <w:t xml:space="preserve">בית המשפט רשאי להיעתר להרחבת חזית בשני מצבים, האחד כאשר צד להליך מבקש להרחיב חזית מגיש בקשה לתיקון כתבי טענותיו, והשני כאשר צד שכנגד נתן הסכמתו לכך ( ראו: ע"א 37/48 </w:t>
      </w:r>
      <w:r w:rsidRPr="009D7608">
        <w:rPr>
          <w:rFonts w:ascii="David" w:hAnsi="David" w:cs="David" w:hint="cs"/>
          <w:b/>
          <w:bCs/>
          <w:sz w:val="24"/>
          <w:szCs w:val="24"/>
          <w:rtl/>
        </w:rPr>
        <w:t>בנק הפועלים בע"מ נ' קרבצ'וב</w:t>
      </w:r>
      <w:r w:rsidRPr="009D7608">
        <w:rPr>
          <w:rFonts w:ascii="David" w:hAnsi="David" w:cs="David" w:hint="cs"/>
          <w:sz w:val="24"/>
          <w:szCs w:val="24"/>
          <w:rtl/>
        </w:rPr>
        <w:t xml:space="preserve">, פ"ד ב 143, 146; ע"א 3199/93 </w:t>
      </w:r>
      <w:r w:rsidRPr="009D7608">
        <w:rPr>
          <w:rFonts w:ascii="David" w:hAnsi="David" w:cs="David" w:hint="cs"/>
          <w:b/>
          <w:bCs/>
          <w:sz w:val="24"/>
          <w:szCs w:val="24"/>
          <w:rtl/>
        </w:rPr>
        <w:t>קראוס נ' ידיעות אחרונות בע"מ</w:t>
      </w:r>
      <w:r w:rsidR="009D7608">
        <w:rPr>
          <w:rFonts w:ascii="David" w:hAnsi="David" w:cs="David" w:hint="cs"/>
          <w:sz w:val="24"/>
          <w:szCs w:val="24"/>
          <w:rtl/>
        </w:rPr>
        <w:t xml:space="preserve">, פ"ד מט (2) 843, 874), </w:t>
      </w:r>
      <w:r w:rsidRPr="00D41A59">
        <w:rPr>
          <w:rFonts w:ascii="David" w:hAnsi="David" w:cs="David" w:hint="cs"/>
          <w:sz w:val="24"/>
          <w:szCs w:val="24"/>
          <w:u w:val="single"/>
          <w:rtl/>
        </w:rPr>
        <w:t>ברור כי אין זה המקרה שבפניי</w:t>
      </w:r>
      <w:r w:rsidRPr="009D7608">
        <w:rPr>
          <w:rFonts w:ascii="David" w:hAnsi="David" w:cs="David" w:hint="cs"/>
          <w:sz w:val="24"/>
          <w:szCs w:val="24"/>
          <w:rtl/>
        </w:rPr>
        <w:t xml:space="preserve">. </w:t>
      </w:r>
    </w:p>
    <w:p w:rsidR="00970FD9" w:rsidRDefault="00970FD9" w:rsidP="00970FD9">
      <w:pPr>
        <w:pStyle w:val="ad"/>
        <w:rPr>
          <w:rFonts w:ascii="David" w:hAnsi="David" w:cs="David"/>
          <w:b/>
          <w:bCs/>
          <w:sz w:val="24"/>
          <w:szCs w:val="24"/>
        </w:rPr>
      </w:pPr>
    </w:p>
    <w:p w:rsidR="00970FD9" w:rsidRDefault="00970FD9" w:rsidP="00970FD9">
      <w:pPr>
        <w:pStyle w:val="ad"/>
        <w:numPr>
          <w:ilvl w:val="0"/>
          <w:numId w:val="1"/>
        </w:numPr>
        <w:spacing w:line="360" w:lineRule="auto"/>
        <w:ind w:left="368" w:hanging="426"/>
        <w:jc w:val="both"/>
        <w:rPr>
          <w:rFonts w:ascii="David" w:hAnsi="David" w:cs="David"/>
          <w:sz w:val="24"/>
          <w:szCs w:val="24"/>
          <w:rtl/>
        </w:rPr>
      </w:pPr>
      <w:r>
        <w:rPr>
          <w:rFonts w:ascii="David" w:hAnsi="David" w:cs="David"/>
          <w:b/>
          <w:bCs/>
          <w:sz w:val="24"/>
          <w:szCs w:val="24"/>
          <w:rtl/>
        </w:rPr>
        <w:t xml:space="preserve">יחד עם זאת בשל חשיבותן מחד, </w:t>
      </w:r>
      <w:r>
        <w:rPr>
          <w:rFonts w:ascii="David" w:hAnsi="David" w:cs="David"/>
          <w:b/>
          <w:bCs/>
          <w:sz w:val="24"/>
          <w:szCs w:val="24"/>
          <w:u w:val="single"/>
          <w:rtl/>
        </w:rPr>
        <w:t xml:space="preserve">ודחייתן </w:t>
      </w:r>
      <w:r>
        <w:rPr>
          <w:rFonts w:ascii="David" w:hAnsi="David" w:cs="David"/>
          <w:b/>
          <w:bCs/>
          <w:sz w:val="24"/>
          <w:szCs w:val="24"/>
          <w:rtl/>
        </w:rPr>
        <w:t>מאידך, יאמר כך:</w:t>
      </w:r>
    </w:p>
    <w:p w:rsidR="00970FD9" w:rsidRDefault="00970FD9" w:rsidP="00AB2429">
      <w:pPr>
        <w:pStyle w:val="ad"/>
        <w:spacing w:line="240" w:lineRule="auto"/>
        <w:rPr>
          <w:rFonts w:ascii="David" w:hAnsi="David" w:cs="David"/>
          <w:b/>
          <w:bCs/>
          <w:sz w:val="24"/>
          <w:szCs w:val="24"/>
        </w:rPr>
      </w:pPr>
    </w:p>
    <w:p w:rsidR="00A157D9" w:rsidRPr="00E05A45" w:rsidRDefault="00A157D9" w:rsidP="00877F23">
      <w:pPr>
        <w:pStyle w:val="ad"/>
        <w:numPr>
          <w:ilvl w:val="0"/>
          <w:numId w:val="6"/>
        </w:numPr>
        <w:tabs>
          <w:tab w:val="left" w:pos="425"/>
          <w:tab w:val="left" w:pos="567"/>
        </w:tabs>
        <w:spacing w:line="360" w:lineRule="auto"/>
        <w:ind w:left="283" w:firstLine="0"/>
        <w:jc w:val="both"/>
        <w:rPr>
          <w:rFonts w:ascii="David" w:hAnsi="David" w:cs="David"/>
          <w:b/>
          <w:bCs/>
          <w:sz w:val="24"/>
          <w:szCs w:val="24"/>
        </w:rPr>
      </w:pPr>
      <w:r w:rsidRPr="00E05A45">
        <w:rPr>
          <w:rFonts w:ascii="David" w:hAnsi="David" w:cs="David"/>
          <w:b/>
          <w:bCs/>
          <w:sz w:val="24"/>
          <w:szCs w:val="24"/>
          <w:rtl/>
        </w:rPr>
        <w:t>טענת התובע כי מ</w:t>
      </w:r>
      <w:r w:rsidR="00E27EE7">
        <w:rPr>
          <w:rFonts w:ascii="David" w:hAnsi="David" w:cs="David"/>
          <w:b/>
          <w:bCs/>
          <w:sz w:val="24"/>
          <w:szCs w:val="24"/>
          <w:rtl/>
        </w:rPr>
        <w:t xml:space="preserve">דובר בהסכם ממון שלא אושר על פי </w:t>
      </w:r>
      <w:r w:rsidR="00E27EE7">
        <w:rPr>
          <w:rFonts w:ascii="David" w:hAnsi="David" w:cs="David" w:hint="cs"/>
          <w:b/>
          <w:bCs/>
          <w:sz w:val="24"/>
          <w:szCs w:val="24"/>
          <w:rtl/>
        </w:rPr>
        <w:t xml:space="preserve">סעיף 2(ב) לחוק יחסי ממון  </w:t>
      </w:r>
    </w:p>
    <w:p w:rsidR="00877F23" w:rsidRDefault="00970FD9" w:rsidP="00877F23">
      <w:pPr>
        <w:pStyle w:val="ad"/>
        <w:spacing w:line="360" w:lineRule="auto"/>
        <w:ind w:left="567"/>
        <w:jc w:val="both"/>
        <w:rPr>
          <w:rFonts w:ascii="David" w:hAnsi="David" w:cs="David"/>
          <w:sz w:val="24"/>
          <w:szCs w:val="24"/>
          <w:rtl/>
        </w:rPr>
      </w:pPr>
      <w:r w:rsidRPr="00E05A45">
        <w:rPr>
          <w:rFonts w:ascii="David" w:hAnsi="David" w:cs="David"/>
          <w:sz w:val="24"/>
          <w:szCs w:val="24"/>
          <w:rtl/>
        </w:rPr>
        <w:t>חוק יחסי ממון</w:t>
      </w:r>
      <w:r>
        <w:rPr>
          <w:rFonts w:ascii="David" w:hAnsi="David" w:cs="David"/>
          <w:sz w:val="24"/>
          <w:szCs w:val="24"/>
          <w:rtl/>
        </w:rPr>
        <w:t xml:space="preserve"> אכן קובע כי על בית המשפט לאשר הסכם ממון שנחתם בין הצדדים, תוך בחינת הבנת הצדדים את ההסכם ומשמעויותיו. במקרה דנן אין מדובר בהסכם ממון,</w:t>
      </w:r>
      <w:r w:rsidR="00137D28">
        <w:rPr>
          <w:rFonts w:ascii="David" w:hAnsi="David" w:cs="David" w:hint="cs"/>
          <w:sz w:val="24"/>
          <w:szCs w:val="24"/>
          <w:rtl/>
        </w:rPr>
        <w:t xml:space="preserve"> ולפיכך אין תחולה לסעיף 2ב' לחוק יחסי ממון, התשל"ג </w:t>
      </w:r>
      <w:r w:rsidR="00137D28">
        <w:rPr>
          <w:rFonts w:ascii="David" w:hAnsi="David" w:cs="David"/>
          <w:sz w:val="24"/>
          <w:szCs w:val="24"/>
          <w:rtl/>
        </w:rPr>
        <w:t>–</w:t>
      </w:r>
      <w:r w:rsidR="00137D28">
        <w:rPr>
          <w:rFonts w:ascii="David" w:hAnsi="David" w:cs="David" w:hint="cs"/>
          <w:sz w:val="24"/>
          <w:szCs w:val="24"/>
          <w:rtl/>
        </w:rPr>
        <w:t xml:space="preserve"> 1973 הקובע כי "</w:t>
      </w:r>
      <w:r w:rsidR="00137D28" w:rsidRPr="00752D2B">
        <w:rPr>
          <w:rFonts w:ascii="David" w:hAnsi="David" w:cs="David" w:hint="cs"/>
          <w:b/>
          <w:bCs/>
          <w:sz w:val="24"/>
          <w:szCs w:val="24"/>
          <w:rtl/>
        </w:rPr>
        <w:t>האישור לא יינתן אלא לאחר שנוכח בית המשפט או בית הדין שבני הזוג עשו את ההסכם בהסכמה חופשית ובהבינם את משמעותו ותוצאותיו</w:t>
      </w:r>
      <w:r w:rsidR="00137D28" w:rsidRPr="00E05A45">
        <w:rPr>
          <w:rFonts w:ascii="David" w:hAnsi="David" w:cs="David" w:hint="cs"/>
          <w:sz w:val="24"/>
          <w:szCs w:val="24"/>
          <w:rtl/>
        </w:rPr>
        <w:t>", ומדוע?</w:t>
      </w:r>
      <w:r w:rsidR="00A157D9" w:rsidRPr="00E05A45">
        <w:rPr>
          <w:rFonts w:ascii="David" w:hAnsi="David" w:cs="David" w:hint="cs"/>
          <w:sz w:val="24"/>
          <w:szCs w:val="24"/>
          <w:rtl/>
        </w:rPr>
        <w:t xml:space="preserve"> </w:t>
      </w:r>
      <w:r w:rsidR="00326ECE" w:rsidRPr="00E05A45">
        <w:rPr>
          <w:rFonts w:ascii="David" w:hAnsi="David" w:cs="David" w:hint="cs"/>
          <w:sz w:val="24"/>
          <w:szCs w:val="24"/>
          <w:rtl/>
        </w:rPr>
        <w:t xml:space="preserve">מדובר בהסכמות שניתנו על ידי הצדדים, </w:t>
      </w:r>
      <w:r w:rsidR="00E27EE7">
        <w:rPr>
          <w:rFonts w:ascii="David" w:hAnsi="David" w:cs="David" w:hint="cs"/>
          <w:sz w:val="24"/>
          <w:szCs w:val="24"/>
          <w:rtl/>
        </w:rPr>
        <w:t xml:space="preserve">במהלך דיון במעמדם, בצו הגנה, </w:t>
      </w:r>
      <w:r w:rsidR="00326ECE" w:rsidRPr="00E05A45">
        <w:rPr>
          <w:rFonts w:ascii="David" w:hAnsi="David" w:cs="David" w:hint="cs"/>
          <w:sz w:val="24"/>
          <w:szCs w:val="24"/>
          <w:rtl/>
        </w:rPr>
        <w:t>שכוללות מספר סעיפים בלבד</w:t>
      </w:r>
      <w:r w:rsidR="00B83861" w:rsidRPr="00E05A45">
        <w:rPr>
          <w:rFonts w:ascii="David" w:hAnsi="David" w:cs="David" w:hint="cs"/>
          <w:sz w:val="24"/>
          <w:szCs w:val="24"/>
          <w:rtl/>
        </w:rPr>
        <w:t xml:space="preserve">, </w:t>
      </w:r>
      <w:r w:rsidR="00E27EE7">
        <w:rPr>
          <w:rFonts w:ascii="David" w:hAnsi="David" w:cs="David" w:hint="cs"/>
          <w:sz w:val="24"/>
          <w:szCs w:val="24"/>
          <w:rtl/>
        </w:rPr>
        <w:t>ו</w:t>
      </w:r>
      <w:r w:rsidR="00B83861" w:rsidRPr="00E05A45">
        <w:rPr>
          <w:rFonts w:ascii="David" w:hAnsi="David" w:cs="David" w:hint="cs"/>
          <w:sz w:val="24"/>
          <w:szCs w:val="24"/>
          <w:rtl/>
        </w:rPr>
        <w:t xml:space="preserve">שאינן צופות </w:t>
      </w:r>
      <w:r w:rsidR="00877F23">
        <w:rPr>
          <w:rFonts w:ascii="David" w:hAnsi="David" w:cs="David" w:hint="cs"/>
          <w:sz w:val="24"/>
          <w:szCs w:val="24"/>
          <w:rtl/>
        </w:rPr>
        <w:t xml:space="preserve">בהכרח </w:t>
      </w:r>
      <w:r w:rsidR="00B83861" w:rsidRPr="00E05A45">
        <w:rPr>
          <w:rFonts w:ascii="David" w:hAnsi="David" w:cs="David" w:hint="cs"/>
          <w:sz w:val="24"/>
          <w:szCs w:val="24"/>
          <w:rtl/>
        </w:rPr>
        <w:t xml:space="preserve">פני גירושין ואינן ממצות אל כלל נכסי הצדדים (ראו </w:t>
      </w:r>
      <w:r w:rsidR="00877F23">
        <w:rPr>
          <w:rFonts w:ascii="David" w:hAnsi="David" w:cs="David" w:hint="cs"/>
          <w:sz w:val="24"/>
          <w:szCs w:val="24"/>
          <w:rtl/>
        </w:rPr>
        <w:t xml:space="preserve">בענין זה </w:t>
      </w:r>
      <w:r w:rsidR="00B83861" w:rsidRPr="00E05A45">
        <w:rPr>
          <w:rFonts w:ascii="David" w:hAnsi="David" w:cs="David" w:hint="cs"/>
          <w:sz w:val="24"/>
          <w:szCs w:val="24"/>
          <w:rtl/>
        </w:rPr>
        <w:t xml:space="preserve">ע"א 169/83 </w:t>
      </w:r>
      <w:r w:rsidR="00B83861" w:rsidRPr="00E05A45">
        <w:rPr>
          <w:rFonts w:ascii="David" w:hAnsi="David" w:cs="David" w:hint="cs"/>
          <w:b/>
          <w:bCs/>
          <w:sz w:val="24"/>
          <w:szCs w:val="24"/>
          <w:rtl/>
        </w:rPr>
        <w:t>שי נ' שי</w:t>
      </w:r>
      <w:r w:rsidR="00B83861" w:rsidRPr="00E05A45">
        <w:rPr>
          <w:rFonts w:ascii="David" w:hAnsi="David" w:cs="David" w:hint="cs"/>
          <w:sz w:val="24"/>
          <w:szCs w:val="24"/>
          <w:rtl/>
        </w:rPr>
        <w:t xml:space="preserve"> </w:t>
      </w:r>
      <w:r w:rsidR="00E05A45" w:rsidRPr="00E05A45">
        <w:rPr>
          <w:rFonts w:ascii="David" w:hAnsi="David" w:cs="David" w:hint="cs"/>
          <w:sz w:val="24"/>
          <w:szCs w:val="24"/>
          <w:rtl/>
        </w:rPr>
        <w:t xml:space="preserve">ובע"מ 5142/10 </w:t>
      </w:r>
      <w:r w:rsidR="00E05A45" w:rsidRPr="00752D2B">
        <w:rPr>
          <w:rFonts w:ascii="David" w:hAnsi="David" w:cs="David" w:hint="cs"/>
          <w:b/>
          <w:bCs/>
          <w:sz w:val="24"/>
          <w:szCs w:val="24"/>
          <w:rtl/>
        </w:rPr>
        <w:t>פלונית נ' פלוני</w:t>
      </w:r>
      <w:r w:rsidR="00E05A45" w:rsidRPr="00E05A45">
        <w:rPr>
          <w:rFonts w:ascii="David" w:hAnsi="David" w:cs="David" w:hint="cs"/>
          <w:sz w:val="24"/>
          <w:szCs w:val="24"/>
          <w:rtl/>
        </w:rPr>
        <w:t xml:space="preserve"> (פורסם בנבו)) וכן עמדתו של המלומד ניסים שלם בספרו </w:t>
      </w:r>
      <w:r w:rsidR="00E05A45" w:rsidRPr="00E05A45">
        <w:rPr>
          <w:rFonts w:ascii="David" w:hAnsi="David" w:cs="David" w:hint="cs"/>
          <w:b/>
          <w:bCs/>
          <w:sz w:val="24"/>
          <w:szCs w:val="24"/>
          <w:rtl/>
        </w:rPr>
        <w:t>יחסי ממון ורכוש הדין והפסיקה</w:t>
      </w:r>
      <w:r w:rsidR="00752D2B">
        <w:rPr>
          <w:rFonts w:ascii="David" w:hAnsi="David" w:cs="David" w:hint="cs"/>
          <w:sz w:val="24"/>
          <w:szCs w:val="24"/>
          <w:rtl/>
        </w:rPr>
        <w:t>, הוצאת ענתות</w:t>
      </w:r>
      <w:r w:rsidR="00E05A45" w:rsidRPr="00E05A45">
        <w:rPr>
          <w:rFonts w:ascii="David" w:hAnsi="David" w:cs="David" w:hint="cs"/>
          <w:sz w:val="24"/>
          <w:szCs w:val="24"/>
          <w:rtl/>
        </w:rPr>
        <w:t>, 2013 ר"ג, בעמוד 306</w:t>
      </w:r>
      <w:r w:rsidR="00877F23">
        <w:rPr>
          <w:rFonts w:ascii="David" w:hAnsi="David" w:cs="David" w:hint="cs"/>
          <w:sz w:val="24"/>
          <w:szCs w:val="24"/>
          <w:rtl/>
        </w:rPr>
        <w:t>)</w:t>
      </w:r>
      <w:r w:rsidR="00E05A45" w:rsidRPr="00E05A45">
        <w:rPr>
          <w:rFonts w:ascii="David" w:hAnsi="David" w:cs="David" w:hint="cs"/>
          <w:sz w:val="24"/>
          <w:szCs w:val="24"/>
          <w:rtl/>
        </w:rPr>
        <w:t>.</w:t>
      </w:r>
    </w:p>
    <w:p w:rsidR="00E05A45" w:rsidRPr="00877F23" w:rsidRDefault="00970FD9" w:rsidP="00877F23">
      <w:pPr>
        <w:pStyle w:val="ad"/>
        <w:spacing w:line="360" w:lineRule="auto"/>
        <w:ind w:left="567"/>
        <w:jc w:val="both"/>
        <w:rPr>
          <w:rFonts w:ascii="David" w:hAnsi="David" w:cs="David"/>
          <w:sz w:val="24"/>
          <w:szCs w:val="24"/>
          <w:rtl/>
        </w:rPr>
      </w:pPr>
      <w:r w:rsidRPr="00877F23">
        <w:rPr>
          <w:rFonts w:ascii="David" w:hAnsi="David" w:cs="David"/>
          <w:sz w:val="24"/>
          <w:szCs w:val="24"/>
          <w:rtl/>
        </w:rPr>
        <w:t xml:space="preserve">יתר על כן, גם אם היה רואה בית המשפט את הסכמות הצדדים כאילו הסכם ממון הן, הסכמות אלה לא הוגשו לאישורו של בית המשפט יש מאין, כי אם הושגו במהלך דיון בנוכחות הצדדים, ועל כן אין דין אישורן כדין אישורו של הסכם ממון שהוגש לבית המשפט לאישורו. לא יכולה להיות מחלוקת, במקרה בו ניתנות הסכמות במהלך דיון, כי בעלי </w:t>
      </w:r>
      <w:r w:rsidR="00472BBA" w:rsidRPr="00877F23">
        <w:rPr>
          <w:rFonts w:ascii="David" w:hAnsi="David" w:cs="David" w:hint="cs"/>
          <w:sz w:val="24"/>
          <w:szCs w:val="24"/>
          <w:rtl/>
        </w:rPr>
        <w:t>ה</w:t>
      </w:r>
      <w:r w:rsidRPr="00877F23">
        <w:rPr>
          <w:rFonts w:ascii="David" w:hAnsi="David" w:cs="David"/>
          <w:sz w:val="24"/>
          <w:szCs w:val="24"/>
          <w:rtl/>
        </w:rPr>
        <w:t xml:space="preserve">דין </w:t>
      </w:r>
      <w:r w:rsidR="00472BBA" w:rsidRPr="00877F23">
        <w:rPr>
          <w:rFonts w:ascii="David" w:hAnsi="David" w:cs="David" w:hint="cs"/>
          <w:sz w:val="24"/>
          <w:szCs w:val="24"/>
          <w:rtl/>
        </w:rPr>
        <w:t>ה</w:t>
      </w:r>
      <w:r w:rsidRPr="00877F23">
        <w:rPr>
          <w:rFonts w:ascii="David" w:hAnsi="David" w:cs="David"/>
          <w:sz w:val="24"/>
          <w:szCs w:val="24"/>
          <w:rtl/>
        </w:rPr>
        <w:t>כשירים, הבינו את משמעות ההסכמות, ואין חובה כי בעת מתן תוקף של פסק דין להסכמות</w:t>
      </w:r>
      <w:r w:rsidR="009D7608" w:rsidRPr="00877F23">
        <w:rPr>
          <w:rFonts w:ascii="David" w:hAnsi="David" w:cs="David" w:hint="cs"/>
          <w:sz w:val="24"/>
          <w:szCs w:val="24"/>
          <w:rtl/>
        </w:rPr>
        <w:t xml:space="preserve"> אלה</w:t>
      </w:r>
      <w:r w:rsidRPr="00877F23">
        <w:rPr>
          <w:rFonts w:ascii="David" w:hAnsi="David" w:cs="David"/>
          <w:sz w:val="24"/>
          <w:szCs w:val="24"/>
          <w:rtl/>
        </w:rPr>
        <w:t>, ייכתב שוב</w:t>
      </w:r>
      <w:r w:rsidR="00E05A45" w:rsidRPr="00877F23">
        <w:rPr>
          <w:rFonts w:ascii="David" w:hAnsi="David" w:cs="David" w:hint="cs"/>
          <w:sz w:val="24"/>
          <w:szCs w:val="24"/>
          <w:rtl/>
        </w:rPr>
        <w:t xml:space="preserve">, </w:t>
      </w:r>
      <w:r w:rsidR="00E05A45" w:rsidRPr="00877F23">
        <w:rPr>
          <w:rFonts w:ascii="David" w:hAnsi="David" w:cs="David" w:hint="cs"/>
          <w:sz w:val="24"/>
          <w:szCs w:val="24"/>
          <w:rtl/>
        </w:rPr>
        <w:lastRenderedPageBreak/>
        <w:t>באותיות קידוש לבנה,</w:t>
      </w:r>
      <w:r w:rsidRPr="00877F23">
        <w:rPr>
          <w:rFonts w:ascii="David" w:hAnsi="David" w:cs="David"/>
          <w:sz w:val="24"/>
          <w:szCs w:val="24"/>
          <w:rtl/>
        </w:rPr>
        <w:t xml:space="preserve"> כי הצדדים מבינים את ההסכמות</w:t>
      </w:r>
      <w:r w:rsidR="00E05A45" w:rsidRPr="00877F23">
        <w:rPr>
          <w:rFonts w:ascii="David" w:hAnsi="David" w:cs="David" w:hint="cs"/>
          <w:sz w:val="24"/>
          <w:szCs w:val="24"/>
          <w:rtl/>
        </w:rPr>
        <w:t>.</w:t>
      </w:r>
      <w:r w:rsidR="00E27EE7" w:rsidRPr="00877F23">
        <w:rPr>
          <w:rFonts w:ascii="David" w:hAnsi="David" w:cs="David" w:hint="cs"/>
          <w:sz w:val="24"/>
          <w:szCs w:val="24"/>
          <w:rtl/>
        </w:rPr>
        <w:t xml:space="preserve"> חזקה שבית המשפט אישר את ההסכמות</w:t>
      </w:r>
      <w:r w:rsidR="00D41A59" w:rsidRPr="00877F23">
        <w:rPr>
          <w:rFonts w:ascii="David" w:hAnsi="David" w:cs="David" w:hint="cs"/>
          <w:sz w:val="24"/>
          <w:szCs w:val="24"/>
          <w:rtl/>
        </w:rPr>
        <w:t>, שהת</w:t>
      </w:r>
      <w:r w:rsidR="00E27EE7" w:rsidRPr="00877F23">
        <w:rPr>
          <w:rFonts w:ascii="David" w:hAnsi="David" w:cs="David" w:hint="cs"/>
          <w:sz w:val="24"/>
          <w:szCs w:val="24"/>
          <w:rtl/>
        </w:rPr>
        <w:t xml:space="preserve">קבלו </w:t>
      </w:r>
      <w:r w:rsidR="00D41A59" w:rsidRPr="00877F23">
        <w:rPr>
          <w:rFonts w:ascii="David" w:hAnsi="David" w:cs="David" w:hint="cs"/>
          <w:sz w:val="24"/>
          <w:szCs w:val="24"/>
          <w:rtl/>
        </w:rPr>
        <w:t>בפניו, רק לאחר שהבין ומצא כי הצדדים שבפניו, מבינים אותם.</w:t>
      </w:r>
      <w:r w:rsidR="00877F23" w:rsidRPr="00877F23">
        <w:rPr>
          <w:rFonts w:ascii="David" w:hAnsi="David" w:cs="David" w:hint="cs"/>
          <w:sz w:val="24"/>
          <w:szCs w:val="24"/>
          <w:rtl/>
        </w:rPr>
        <w:t xml:space="preserve"> </w:t>
      </w:r>
      <w:r w:rsidR="00E05A45" w:rsidRPr="00877F23">
        <w:rPr>
          <w:rFonts w:ascii="David" w:hAnsi="David" w:cs="David" w:hint="cs"/>
          <w:sz w:val="24"/>
          <w:szCs w:val="24"/>
          <w:rtl/>
        </w:rPr>
        <w:t xml:space="preserve">זאת ועוד, </w:t>
      </w:r>
      <w:r w:rsidRPr="00877F23">
        <w:rPr>
          <w:rFonts w:ascii="David" w:hAnsi="David" w:cs="David"/>
          <w:sz w:val="24"/>
          <w:szCs w:val="24"/>
          <w:rtl/>
        </w:rPr>
        <w:t xml:space="preserve">טענות התובע כי בית המשפט, בעת אישורו את ההסכמות, היה צריך לברר האם יש רכוש אחר במחלוקת ומה יעשה ברכוש זה (סעיף 25 לסיכומים), אינן נכונות. אין זה מתפקידו של בית המשפט לבחון את מה שלא הוסכם על ידי הצדדים, בוודאי לא מה בתוכנית הצדדים לעשות עם רכוש אחר, ככל שקיים. </w:t>
      </w:r>
    </w:p>
    <w:p w:rsidR="00E27EE7" w:rsidRDefault="00E27EE7" w:rsidP="000B479B">
      <w:pPr>
        <w:pStyle w:val="ad"/>
        <w:spacing w:line="240" w:lineRule="auto"/>
        <w:ind w:left="728"/>
        <w:jc w:val="both"/>
        <w:rPr>
          <w:rFonts w:ascii="David" w:hAnsi="David" w:cs="David"/>
          <w:sz w:val="24"/>
          <w:szCs w:val="24"/>
          <w:rtl/>
        </w:rPr>
      </w:pPr>
    </w:p>
    <w:p w:rsidR="00AB2429" w:rsidRDefault="00E27EE7" w:rsidP="00877F23">
      <w:pPr>
        <w:pStyle w:val="ad"/>
        <w:numPr>
          <w:ilvl w:val="0"/>
          <w:numId w:val="6"/>
        </w:numPr>
        <w:tabs>
          <w:tab w:val="left" w:pos="425"/>
          <w:tab w:val="left" w:pos="567"/>
        </w:tabs>
        <w:spacing w:line="360" w:lineRule="auto"/>
        <w:ind w:left="283" w:firstLine="0"/>
        <w:jc w:val="both"/>
        <w:rPr>
          <w:rFonts w:ascii="David" w:hAnsi="David" w:cs="David"/>
          <w:b/>
          <w:bCs/>
          <w:sz w:val="24"/>
          <w:szCs w:val="24"/>
        </w:rPr>
      </w:pPr>
      <w:r w:rsidRPr="00E05A45">
        <w:rPr>
          <w:rFonts w:ascii="David" w:hAnsi="David" w:cs="David"/>
          <w:b/>
          <w:bCs/>
          <w:sz w:val="24"/>
          <w:szCs w:val="24"/>
          <w:rtl/>
        </w:rPr>
        <w:t xml:space="preserve">טענת התובע </w:t>
      </w:r>
      <w:r>
        <w:rPr>
          <w:rFonts w:ascii="David" w:hAnsi="David" w:cs="David" w:hint="cs"/>
          <w:b/>
          <w:bCs/>
          <w:sz w:val="24"/>
          <w:szCs w:val="24"/>
          <w:rtl/>
        </w:rPr>
        <w:t>שמדובר בהסכם שלא היתה בו הצעה וקיבול</w:t>
      </w:r>
      <w:r w:rsidRPr="00E05A45">
        <w:rPr>
          <w:rFonts w:ascii="David" w:hAnsi="David" w:cs="David"/>
          <w:b/>
          <w:bCs/>
          <w:sz w:val="24"/>
          <w:szCs w:val="24"/>
          <w:rtl/>
        </w:rPr>
        <w:t xml:space="preserve"> </w:t>
      </w:r>
    </w:p>
    <w:p w:rsidR="00970FD9" w:rsidRPr="00AB2429" w:rsidRDefault="00970FD9" w:rsidP="00877F23">
      <w:pPr>
        <w:pStyle w:val="ad"/>
        <w:spacing w:line="360" w:lineRule="auto"/>
        <w:ind w:left="567"/>
        <w:jc w:val="both"/>
        <w:rPr>
          <w:rFonts w:ascii="David" w:hAnsi="David" w:cs="David"/>
          <w:b/>
          <w:bCs/>
          <w:sz w:val="24"/>
          <w:szCs w:val="24"/>
        </w:rPr>
      </w:pPr>
      <w:r w:rsidRPr="00AB2429">
        <w:rPr>
          <w:rFonts w:ascii="David" w:hAnsi="David" w:cs="David"/>
          <w:sz w:val="24"/>
          <w:szCs w:val="24"/>
          <w:rtl/>
        </w:rPr>
        <w:t xml:space="preserve">טענות התובע כאילו לא היתה הצעה וקיבול, </w:t>
      </w:r>
      <w:r w:rsidRPr="00AB2429">
        <w:rPr>
          <w:rFonts w:ascii="David" w:hAnsi="David" w:cs="David" w:hint="cs"/>
          <w:sz w:val="24"/>
          <w:szCs w:val="24"/>
          <w:rtl/>
        </w:rPr>
        <w:t xml:space="preserve">בנוסף לכך שנטענו </w:t>
      </w:r>
      <w:r w:rsidR="00E27EE7" w:rsidRPr="00AB2429">
        <w:rPr>
          <w:rFonts w:ascii="David" w:hAnsi="David" w:hint="cs"/>
          <w:rtl/>
        </w:rPr>
        <w:t xml:space="preserve">כאמור </w:t>
      </w:r>
      <w:r w:rsidRPr="00AB2429">
        <w:rPr>
          <w:rFonts w:ascii="David" w:hAnsi="David" w:cs="David" w:hint="cs"/>
          <w:sz w:val="24"/>
          <w:szCs w:val="24"/>
          <w:rtl/>
        </w:rPr>
        <w:t xml:space="preserve">לראשונה בסיכומים, </w:t>
      </w:r>
      <w:r w:rsidRPr="00AB2429">
        <w:rPr>
          <w:rFonts w:ascii="David" w:hAnsi="David" w:cs="David"/>
          <w:sz w:val="24"/>
          <w:szCs w:val="24"/>
          <w:rtl/>
        </w:rPr>
        <w:t xml:space="preserve">כל כך מופרכות בהקשר של הסכמות אליהן מגיעים צדדים במהלך דיון, </w:t>
      </w:r>
      <w:r w:rsidR="00E27EE7" w:rsidRPr="0067714E">
        <w:rPr>
          <w:rFonts w:ascii="David" w:hAnsi="David" w:cs="David"/>
          <w:sz w:val="24"/>
          <w:szCs w:val="24"/>
          <w:rtl/>
        </w:rPr>
        <w:t xml:space="preserve">בנוכחות בית המשפט, ובמקרה דנן כאשר התובע היה מיוצג, </w:t>
      </w:r>
      <w:r w:rsidRPr="0067714E">
        <w:rPr>
          <w:rFonts w:ascii="David" w:hAnsi="David" w:cs="David"/>
          <w:sz w:val="24"/>
          <w:szCs w:val="24"/>
          <w:rtl/>
        </w:rPr>
        <w:t>שאין מקום כלל להתייחס אליהן.</w:t>
      </w:r>
    </w:p>
    <w:p w:rsidR="00970FD9" w:rsidRDefault="00970FD9" w:rsidP="00472BBA">
      <w:pPr>
        <w:pStyle w:val="ad"/>
        <w:spacing w:line="240" w:lineRule="auto"/>
        <w:ind w:left="368"/>
        <w:jc w:val="both"/>
        <w:rPr>
          <w:rFonts w:ascii="David" w:hAnsi="David" w:cs="David"/>
          <w:sz w:val="24"/>
          <w:szCs w:val="24"/>
        </w:rPr>
      </w:pPr>
    </w:p>
    <w:p w:rsidR="00472BBA" w:rsidRDefault="00B74963" w:rsidP="00877F23">
      <w:pPr>
        <w:pStyle w:val="ad"/>
        <w:numPr>
          <w:ilvl w:val="0"/>
          <w:numId w:val="1"/>
        </w:numPr>
        <w:spacing w:line="360" w:lineRule="auto"/>
        <w:ind w:left="368" w:hanging="426"/>
        <w:jc w:val="both"/>
        <w:rPr>
          <w:rFonts w:ascii="David" w:hAnsi="David" w:cs="David"/>
          <w:sz w:val="24"/>
          <w:szCs w:val="24"/>
        </w:rPr>
      </w:pPr>
      <w:r w:rsidRPr="00877F23">
        <w:rPr>
          <w:rFonts w:ascii="David" w:hAnsi="David" w:cs="David" w:hint="cs"/>
          <w:b/>
          <w:bCs/>
          <w:sz w:val="24"/>
          <w:szCs w:val="24"/>
          <w:rtl/>
        </w:rPr>
        <w:t>ס</w:t>
      </w:r>
      <w:r w:rsidR="00431749" w:rsidRPr="00877F23">
        <w:rPr>
          <w:rFonts w:ascii="David" w:hAnsi="David" w:cs="David" w:hint="cs"/>
          <w:b/>
          <w:bCs/>
          <w:sz w:val="24"/>
          <w:szCs w:val="24"/>
          <w:rtl/>
        </w:rPr>
        <w:t>וף דבר</w:t>
      </w:r>
      <w:r w:rsidR="00431749">
        <w:rPr>
          <w:rFonts w:ascii="David" w:hAnsi="David" w:cs="David" w:hint="cs"/>
          <w:sz w:val="24"/>
          <w:szCs w:val="24"/>
          <w:rtl/>
        </w:rPr>
        <w:t xml:space="preserve"> </w:t>
      </w:r>
      <w:r w:rsidR="00877F23">
        <w:rPr>
          <w:rFonts w:ascii="David" w:hAnsi="David" w:cs="David" w:hint="cs"/>
          <w:sz w:val="24"/>
          <w:szCs w:val="24"/>
          <w:rtl/>
        </w:rPr>
        <w:t xml:space="preserve">- </w:t>
      </w:r>
      <w:r w:rsidR="00472BBA">
        <w:rPr>
          <w:rFonts w:ascii="David" w:hAnsi="David" w:cs="David" w:hint="cs"/>
          <w:sz w:val="24"/>
          <w:szCs w:val="24"/>
          <w:rtl/>
        </w:rPr>
        <w:t xml:space="preserve">התובע לא הוכיח אף לא אחת מטענותיו, ואין מקום במקרה דנן לבטל את פסק הדין, משכך דין התביעה להידחות. </w:t>
      </w:r>
    </w:p>
    <w:p w:rsidR="00472BBA" w:rsidRDefault="00472BBA" w:rsidP="00472BBA">
      <w:pPr>
        <w:pStyle w:val="ad"/>
        <w:spacing w:line="240" w:lineRule="auto"/>
        <w:ind w:left="368"/>
        <w:jc w:val="both"/>
        <w:rPr>
          <w:rFonts w:ascii="David" w:hAnsi="David" w:cs="David"/>
          <w:sz w:val="24"/>
          <w:szCs w:val="24"/>
        </w:rPr>
      </w:pPr>
    </w:p>
    <w:p w:rsidR="00970FD9" w:rsidRDefault="00970FD9" w:rsidP="002A68D0">
      <w:pPr>
        <w:pStyle w:val="ad"/>
        <w:numPr>
          <w:ilvl w:val="0"/>
          <w:numId w:val="1"/>
        </w:numPr>
        <w:spacing w:line="360" w:lineRule="auto"/>
        <w:ind w:left="368" w:hanging="426"/>
        <w:jc w:val="both"/>
        <w:rPr>
          <w:rFonts w:ascii="David" w:hAnsi="David" w:cs="David"/>
          <w:sz w:val="24"/>
          <w:szCs w:val="24"/>
        </w:rPr>
      </w:pPr>
      <w:r>
        <w:rPr>
          <w:rFonts w:ascii="David" w:hAnsi="David" w:cs="David"/>
          <w:sz w:val="24"/>
          <w:szCs w:val="24"/>
          <w:rtl/>
        </w:rPr>
        <w:t>נוכח התוצאה אליה הגעתי הר</w:t>
      </w:r>
      <w:r w:rsidR="002A68D0">
        <w:rPr>
          <w:rFonts w:ascii="David" w:hAnsi="David" w:cs="David"/>
          <w:sz w:val="24"/>
          <w:szCs w:val="24"/>
          <w:rtl/>
        </w:rPr>
        <w:t xml:space="preserve">יני מורה על חיוב התובע בהוצאות משפט </w:t>
      </w:r>
      <w:r w:rsidR="002A68D0">
        <w:rPr>
          <w:rFonts w:ascii="David" w:hAnsi="David" w:cs="David" w:hint="cs"/>
          <w:sz w:val="24"/>
          <w:szCs w:val="24"/>
          <w:rtl/>
        </w:rPr>
        <w:t>לטובת ה</w:t>
      </w:r>
      <w:r>
        <w:rPr>
          <w:rFonts w:ascii="David" w:hAnsi="David" w:cs="David"/>
          <w:sz w:val="24"/>
          <w:szCs w:val="24"/>
          <w:rtl/>
        </w:rPr>
        <w:t xml:space="preserve">נתבעת בסך של </w:t>
      </w:r>
      <w:r w:rsidR="00755658">
        <w:rPr>
          <w:rFonts w:ascii="David" w:hAnsi="David" w:cs="David" w:hint="cs"/>
          <w:sz w:val="24"/>
          <w:szCs w:val="24"/>
          <w:rtl/>
        </w:rPr>
        <w:t>25</w:t>
      </w:r>
      <w:r>
        <w:rPr>
          <w:rFonts w:ascii="David" w:hAnsi="David" w:cs="David"/>
          <w:sz w:val="24"/>
          <w:szCs w:val="24"/>
          <w:rtl/>
        </w:rPr>
        <w:t xml:space="preserve">,000 ₪, שישולמו בתוך 30 ימים לאחריהם יצברו ריבית </w:t>
      </w:r>
      <w:r w:rsidR="002A68D0">
        <w:rPr>
          <w:rFonts w:ascii="David" w:hAnsi="David" w:cs="David" w:hint="cs"/>
          <w:sz w:val="24"/>
          <w:szCs w:val="24"/>
          <w:rtl/>
        </w:rPr>
        <w:t>שקלית</w:t>
      </w:r>
      <w:r>
        <w:rPr>
          <w:rFonts w:ascii="David" w:hAnsi="David" w:cs="David"/>
          <w:sz w:val="24"/>
          <w:szCs w:val="24"/>
          <w:rtl/>
        </w:rPr>
        <w:t>.</w:t>
      </w:r>
    </w:p>
    <w:p w:rsidR="00B74963" w:rsidRPr="00B74963" w:rsidRDefault="00B74963" w:rsidP="00B74963">
      <w:pPr>
        <w:pStyle w:val="ad"/>
        <w:rPr>
          <w:rFonts w:ascii="David" w:hAnsi="David" w:cs="David"/>
          <w:sz w:val="24"/>
          <w:szCs w:val="24"/>
          <w:rtl/>
        </w:rPr>
      </w:pPr>
    </w:p>
    <w:p w:rsidR="00472BBA" w:rsidRPr="00877F23" w:rsidRDefault="00472BBA" w:rsidP="00755658">
      <w:pPr>
        <w:pStyle w:val="ad"/>
        <w:numPr>
          <w:ilvl w:val="0"/>
          <w:numId w:val="1"/>
        </w:numPr>
        <w:spacing w:line="360" w:lineRule="auto"/>
        <w:ind w:left="368" w:hanging="426"/>
        <w:jc w:val="both"/>
        <w:rPr>
          <w:rFonts w:ascii="David" w:hAnsi="David" w:cs="David"/>
          <w:sz w:val="24"/>
          <w:szCs w:val="24"/>
        </w:rPr>
      </w:pPr>
      <w:r w:rsidRPr="00877F23">
        <w:rPr>
          <w:rFonts w:ascii="David" w:hAnsi="David" w:cs="David" w:hint="cs"/>
          <w:sz w:val="24"/>
          <w:szCs w:val="24"/>
          <w:rtl/>
        </w:rPr>
        <w:t>ניתן לפרסום בהשמטת פרטים מזהים.</w:t>
      </w:r>
    </w:p>
    <w:p w:rsidR="00472BBA" w:rsidRPr="00472BBA" w:rsidRDefault="00472BBA" w:rsidP="00472BBA">
      <w:pPr>
        <w:pStyle w:val="ad"/>
        <w:rPr>
          <w:rFonts w:ascii="David" w:hAnsi="David" w:cs="David"/>
          <w:b/>
          <w:bCs/>
          <w:sz w:val="24"/>
          <w:szCs w:val="24"/>
          <w:u w:val="single"/>
          <w:rtl/>
        </w:rPr>
      </w:pPr>
    </w:p>
    <w:p w:rsidR="00B74963" w:rsidRDefault="00B74963" w:rsidP="00755658">
      <w:pPr>
        <w:pStyle w:val="ad"/>
        <w:numPr>
          <w:ilvl w:val="0"/>
          <w:numId w:val="1"/>
        </w:numPr>
        <w:spacing w:line="360" w:lineRule="auto"/>
        <w:ind w:left="368" w:hanging="426"/>
        <w:jc w:val="both"/>
        <w:rPr>
          <w:rFonts w:ascii="David" w:hAnsi="David" w:cs="David"/>
          <w:sz w:val="24"/>
          <w:szCs w:val="24"/>
          <w:rtl/>
        </w:rPr>
      </w:pPr>
      <w:r w:rsidRPr="00B74963">
        <w:rPr>
          <w:rFonts w:ascii="David" w:hAnsi="David" w:cs="David" w:hint="cs"/>
          <w:b/>
          <w:bCs/>
          <w:sz w:val="24"/>
          <w:szCs w:val="24"/>
          <w:u w:val="single"/>
          <w:rtl/>
        </w:rPr>
        <w:t>המזכירות</w:t>
      </w:r>
      <w:r>
        <w:rPr>
          <w:rFonts w:ascii="David" w:hAnsi="David" w:cs="David" w:hint="cs"/>
          <w:sz w:val="24"/>
          <w:szCs w:val="24"/>
          <w:rtl/>
        </w:rPr>
        <w:t xml:space="preserve"> תסגור את התיק.</w:t>
      </w:r>
    </w:p>
    <w:p w:rsidR="00970FD9" w:rsidRDefault="00970FD9" w:rsidP="00970FD9">
      <w:pPr>
        <w:jc w:val="both"/>
        <w:rPr>
          <w:rFonts w:ascii="David" w:hAnsi="David"/>
          <w:rtl/>
        </w:rPr>
      </w:pP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כ"ד חשוון תשפ"ה</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25 נובמבר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156AB3" w:rsidP="00633C4F">
      <w:pPr>
        <w:spacing w:line="360" w:lineRule="auto"/>
        <w:ind w:left="3600" w:firstLine="720"/>
      </w:pPr>
      <w:sdt>
        <w:sdtPr>
          <w:rPr>
            <w:rtl/>
          </w:rPr>
          <w:alias w:val="MergeField"/>
          <w:tag w:val="1237"/>
          <w:id w:val="1357379968"/>
        </w:sdtPr>
        <w:sdtEndPr/>
        <w:sdtContent>
          <w:r w:rsidR="00E671F2">
            <w:drawing>
              <wp:inline distT="0" distB="0" distL="0" distR="0" wp14:editId="50D07946">
                <wp:extent cx="1123950" cy="9429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2" cstate="print">
                          <a:extLst/>
                        </a:blip>
                        <a:stretch>
                          <a:fillRect/>
                        </a:stretch>
                      </pic:blipFill>
                      <pic:spPr>
                        <a:xfrm>
                          <a:off x="0" y="0"/>
                          <a:ext cx="1123950" cy="942975"/>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default" r:id="rId13"/>
      <w:footerReference w:type="default" r:id="rId14"/>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6AB3" w:rsidRDefault="00156AB3">
      <w:r>
        <w:separator/>
      </w:r>
    </w:p>
  </w:endnote>
  <w:endnote w:type="continuationSeparator" w:id="0">
    <w:p w:rsidR="00156AB3" w:rsidRDefault="00156A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E93379">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E93379">
      <w:rPr>
        <w:rStyle w:val="ab"/>
        <w:rtl/>
      </w:rPr>
      <w:t>12</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6AB3" w:rsidRDefault="00156AB3">
      <w:r>
        <w:separator/>
      </w:r>
    </w:p>
  </w:footnote>
  <w:footnote w:type="continuationSeparator" w:id="0">
    <w:p w:rsidR="00156AB3" w:rsidRDefault="00156A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5"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בפתח תקווה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156AB3">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תלה"מ</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4818-10-22</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DF1E34">
                <w:rPr>
                  <w:b/>
                  <w:bCs/>
                  <w:noProof w:val="0"/>
                  <w:sz w:val="26"/>
                  <w:szCs w:val="26"/>
                  <w:rtl/>
                </w:rPr>
                <w:t>ב</w:t>
              </w:r>
              <w:r w:rsidR="00DF1E34">
                <w:rPr>
                  <w:rFonts w:hint="cs"/>
                  <w:b/>
                  <w:bCs/>
                  <w:noProof w:val="0"/>
                  <w:sz w:val="26"/>
                  <w:szCs w:val="26"/>
                  <w:rtl/>
                </w:rPr>
                <w:t>'</w:t>
              </w:r>
              <w:r w:rsidR="00DF1E34">
                <w:rPr>
                  <w:b/>
                  <w:bCs/>
                  <w:noProof w:val="0"/>
                  <w:sz w:val="26"/>
                  <w:szCs w:val="26"/>
                  <w:rtl/>
                </w:rPr>
                <w:t xml:space="preserve"> נ' ב</w:t>
              </w:r>
              <w:r w:rsidR="00DF1E34">
                <w:rPr>
                  <w:rFonts w:hint="cs"/>
                  <w:b/>
                  <w:bCs/>
                  <w:noProof w:val="0"/>
                  <w:sz w:val="26"/>
                  <w:szCs w:val="26"/>
                  <w:rtl/>
                </w:rPr>
                <w:t>'</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CF2C95"/>
    <w:multiLevelType w:val="hybridMultilevel"/>
    <w:tmpl w:val="9BD00E74"/>
    <w:lvl w:ilvl="0" w:tplc="F192FC50">
      <w:start w:val="1"/>
      <w:numFmt w:val="decimal"/>
      <w:lvlText w:val="%1."/>
      <w:lvlJc w:val="left"/>
      <w:pPr>
        <w:ind w:left="720" w:hanging="360"/>
      </w:pPr>
      <w:rPr>
        <w:rFonts w:ascii="David" w:hAnsi="David" w:cs="David" w:hint="default"/>
        <w:b w:val="0"/>
        <w:bCs w:val="0"/>
        <w:sz w:val="24"/>
        <w:szCs w:val="24"/>
      </w:rPr>
    </w:lvl>
    <w:lvl w:ilvl="1" w:tplc="A0DE01E0">
      <w:start w:val="1"/>
      <w:numFmt w:val="lowerLetter"/>
      <w:lvlText w:val="%2."/>
      <w:lvlJc w:val="left"/>
      <w:pPr>
        <w:ind w:left="1440" w:hanging="360"/>
      </w:pPr>
    </w:lvl>
    <w:lvl w:ilvl="2" w:tplc="35AC9108">
      <w:start w:val="1"/>
      <w:numFmt w:val="lowerRoman"/>
      <w:lvlText w:val="%3."/>
      <w:lvlJc w:val="right"/>
      <w:pPr>
        <w:ind w:left="2160" w:hanging="180"/>
      </w:pPr>
    </w:lvl>
    <w:lvl w:ilvl="3" w:tplc="84DC4CD6">
      <w:start w:val="1"/>
      <w:numFmt w:val="decimal"/>
      <w:lvlText w:val="%4."/>
      <w:lvlJc w:val="left"/>
      <w:pPr>
        <w:ind w:left="2880" w:hanging="360"/>
      </w:pPr>
    </w:lvl>
    <w:lvl w:ilvl="4" w:tplc="3F18103E">
      <w:start w:val="1"/>
      <w:numFmt w:val="lowerLetter"/>
      <w:lvlText w:val="%5."/>
      <w:lvlJc w:val="left"/>
      <w:pPr>
        <w:ind w:left="3600" w:hanging="360"/>
      </w:pPr>
    </w:lvl>
    <w:lvl w:ilvl="5" w:tplc="595467A0">
      <w:start w:val="1"/>
      <w:numFmt w:val="lowerRoman"/>
      <w:lvlText w:val="%6."/>
      <w:lvlJc w:val="right"/>
      <w:pPr>
        <w:ind w:left="4320" w:hanging="180"/>
      </w:pPr>
    </w:lvl>
    <w:lvl w:ilvl="6" w:tplc="FD5A0628">
      <w:start w:val="1"/>
      <w:numFmt w:val="decimal"/>
      <w:lvlText w:val="%7."/>
      <w:lvlJc w:val="left"/>
      <w:pPr>
        <w:ind w:left="5040" w:hanging="360"/>
      </w:pPr>
    </w:lvl>
    <w:lvl w:ilvl="7" w:tplc="869CB62C">
      <w:start w:val="1"/>
      <w:numFmt w:val="lowerLetter"/>
      <w:lvlText w:val="%8."/>
      <w:lvlJc w:val="left"/>
      <w:pPr>
        <w:ind w:left="5760" w:hanging="360"/>
      </w:pPr>
    </w:lvl>
    <w:lvl w:ilvl="8" w:tplc="53EAA182">
      <w:start w:val="1"/>
      <w:numFmt w:val="lowerRoman"/>
      <w:lvlText w:val="%9."/>
      <w:lvlJc w:val="right"/>
      <w:pPr>
        <w:ind w:left="6480" w:hanging="180"/>
      </w:pPr>
    </w:lvl>
  </w:abstractNum>
  <w:abstractNum w:abstractNumId="1" w15:restartNumberingAfterBreak="0">
    <w:nsid w:val="0C3341CB"/>
    <w:multiLevelType w:val="hybridMultilevel"/>
    <w:tmpl w:val="3A124A8A"/>
    <w:lvl w:ilvl="0" w:tplc="44E2E428">
      <w:start w:val="1"/>
      <w:numFmt w:val="hebrew1"/>
      <w:lvlText w:val="%1."/>
      <w:lvlJc w:val="left"/>
      <w:pPr>
        <w:ind w:left="1080" w:hanging="360"/>
      </w:pPr>
    </w:lvl>
    <w:lvl w:ilvl="1" w:tplc="91669978">
      <w:start w:val="1"/>
      <w:numFmt w:val="lowerLetter"/>
      <w:lvlText w:val="%2."/>
      <w:lvlJc w:val="left"/>
      <w:pPr>
        <w:ind w:left="1800" w:hanging="360"/>
      </w:pPr>
    </w:lvl>
    <w:lvl w:ilvl="2" w:tplc="13D2CF08">
      <w:start w:val="1"/>
      <w:numFmt w:val="lowerRoman"/>
      <w:lvlText w:val="%3."/>
      <w:lvlJc w:val="right"/>
      <w:pPr>
        <w:ind w:left="2520" w:hanging="180"/>
      </w:pPr>
    </w:lvl>
    <w:lvl w:ilvl="3" w:tplc="E23A6BC8">
      <w:start w:val="1"/>
      <w:numFmt w:val="decimal"/>
      <w:lvlText w:val="%4."/>
      <w:lvlJc w:val="left"/>
      <w:pPr>
        <w:ind w:left="3240" w:hanging="360"/>
      </w:pPr>
    </w:lvl>
    <w:lvl w:ilvl="4" w:tplc="74D6ADFC">
      <w:start w:val="1"/>
      <w:numFmt w:val="lowerLetter"/>
      <w:lvlText w:val="%5."/>
      <w:lvlJc w:val="left"/>
      <w:pPr>
        <w:ind w:left="3960" w:hanging="360"/>
      </w:pPr>
    </w:lvl>
    <w:lvl w:ilvl="5" w:tplc="39A8498E">
      <w:start w:val="1"/>
      <w:numFmt w:val="lowerRoman"/>
      <w:lvlText w:val="%6."/>
      <w:lvlJc w:val="right"/>
      <w:pPr>
        <w:ind w:left="4680" w:hanging="180"/>
      </w:pPr>
    </w:lvl>
    <w:lvl w:ilvl="6" w:tplc="4F9EC55C">
      <w:start w:val="1"/>
      <w:numFmt w:val="decimal"/>
      <w:lvlText w:val="%7."/>
      <w:lvlJc w:val="left"/>
      <w:pPr>
        <w:ind w:left="5400" w:hanging="360"/>
      </w:pPr>
    </w:lvl>
    <w:lvl w:ilvl="7" w:tplc="EB42D35A">
      <w:start w:val="1"/>
      <w:numFmt w:val="lowerLetter"/>
      <w:lvlText w:val="%8."/>
      <w:lvlJc w:val="left"/>
      <w:pPr>
        <w:ind w:left="6120" w:hanging="360"/>
      </w:pPr>
    </w:lvl>
    <w:lvl w:ilvl="8" w:tplc="AFE6C126">
      <w:start w:val="1"/>
      <w:numFmt w:val="lowerRoman"/>
      <w:lvlText w:val="%9."/>
      <w:lvlJc w:val="right"/>
      <w:pPr>
        <w:ind w:left="6840" w:hanging="180"/>
      </w:pPr>
    </w:lvl>
  </w:abstractNum>
  <w:abstractNum w:abstractNumId="2" w15:restartNumberingAfterBreak="0">
    <w:nsid w:val="2686129D"/>
    <w:multiLevelType w:val="hybridMultilevel"/>
    <w:tmpl w:val="420883B4"/>
    <w:lvl w:ilvl="0" w:tplc="79B23C9E">
      <w:start w:val="1"/>
      <w:numFmt w:val="hebrew1"/>
      <w:lvlText w:val="%1."/>
      <w:lvlJc w:val="left"/>
      <w:pPr>
        <w:ind w:left="728" w:hanging="360"/>
      </w:pPr>
    </w:lvl>
    <w:lvl w:ilvl="1" w:tplc="EF2C0EF0">
      <w:start w:val="1"/>
      <w:numFmt w:val="lowerLetter"/>
      <w:lvlText w:val="%2."/>
      <w:lvlJc w:val="left"/>
      <w:pPr>
        <w:ind w:left="1448" w:hanging="360"/>
      </w:pPr>
    </w:lvl>
    <w:lvl w:ilvl="2" w:tplc="6BEE2764">
      <w:start w:val="1"/>
      <w:numFmt w:val="lowerRoman"/>
      <w:lvlText w:val="%3."/>
      <w:lvlJc w:val="right"/>
      <w:pPr>
        <w:ind w:left="2168" w:hanging="180"/>
      </w:pPr>
    </w:lvl>
    <w:lvl w:ilvl="3" w:tplc="8F423E1C">
      <w:start w:val="1"/>
      <w:numFmt w:val="decimal"/>
      <w:lvlText w:val="%4."/>
      <w:lvlJc w:val="left"/>
      <w:pPr>
        <w:ind w:left="2888" w:hanging="360"/>
      </w:pPr>
    </w:lvl>
    <w:lvl w:ilvl="4" w:tplc="30606186">
      <w:start w:val="1"/>
      <w:numFmt w:val="lowerLetter"/>
      <w:lvlText w:val="%5."/>
      <w:lvlJc w:val="left"/>
      <w:pPr>
        <w:ind w:left="3608" w:hanging="360"/>
      </w:pPr>
    </w:lvl>
    <w:lvl w:ilvl="5" w:tplc="AC2E08F8">
      <w:start w:val="1"/>
      <w:numFmt w:val="lowerRoman"/>
      <w:lvlText w:val="%6."/>
      <w:lvlJc w:val="right"/>
      <w:pPr>
        <w:ind w:left="4328" w:hanging="180"/>
      </w:pPr>
    </w:lvl>
    <w:lvl w:ilvl="6" w:tplc="8BE8B0B2">
      <w:start w:val="1"/>
      <w:numFmt w:val="decimal"/>
      <w:lvlText w:val="%7."/>
      <w:lvlJc w:val="left"/>
      <w:pPr>
        <w:ind w:left="5048" w:hanging="360"/>
      </w:pPr>
    </w:lvl>
    <w:lvl w:ilvl="7" w:tplc="2C4EEFFE">
      <w:start w:val="1"/>
      <w:numFmt w:val="lowerLetter"/>
      <w:lvlText w:val="%8."/>
      <w:lvlJc w:val="left"/>
      <w:pPr>
        <w:ind w:left="5768" w:hanging="360"/>
      </w:pPr>
    </w:lvl>
    <w:lvl w:ilvl="8" w:tplc="86BC576C">
      <w:start w:val="1"/>
      <w:numFmt w:val="lowerRoman"/>
      <w:lvlText w:val="%9."/>
      <w:lvlJc w:val="right"/>
      <w:pPr>
        <w:ind w:left="6488" w:hanging="180"/>
      </w:pPr>
    </w:lvl>
  </w:abstractNum>
  <w:abstractNum w:abstractNumId="3" w15:restartNumberingAfterBreak="0">
    <w:nsid w:val="3C931C6C"/>
    <w:multiLevelType w:val="hybridMultilevel"/>
    <w:tmpl w:val="1ADCD1A2"/>
    <w:lvl w:ilvl="0" w:tplc="29E487EE">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FD51428"/>
    <w:multiLevelType w:val="hybridMultilevel"/>
    <w:tmpl w:val="AB320CF6"/>
    <w:lvl w:ilvl="0" w:tplc="772E7AB4">
      <w:start w:val="1"/>
      <w:numFmt w:val="hebrew1"/>
      <w:lvlText w:val="%1."/>
      <w:lvlJc w:val="left"/>
      <w:pPr>
        <w:ind w:left="728" w:hanging="360"/>
      </w:pPr>
      <w:rPr>
        <w:b/>
      </w:rPr>
    </w:lvl>
    <w:lvl w:ilvl="1" w:tplc="C6B6DFA6">
      <w:start w:val="1"/>
      <w:numFmt w:val="lowerLetter"/>
      <w:lvlText w:val="%2."/>
      <w:lvlJc w:val="left"/>
      <w:pPr>
        <w:ind w:left="1448" w:hanging="360"/>
      </w:pPr>
    </w:lvl>
    <w:lvl w:ilvl="2" w:tplc="85022AA4">
      <w:start w:val="1"/>
      <w:numFmt w:val="lowerRoman"/>
      <w:lvlText w:val="%3."/>
      <w:lvlJc w:val="right"/>
      <w:pPr>
        <w:ind w:left="2168" w:hanging="180"/>
      </w:pPr>
    </w:lvl>
    <w:lvl w:ilvl="3" w:tplc="5A722A16">
      <w:start w:val="1"/>
      <w:numFmt w:val="decimal"/>
      <w:lvlText w:val="%4."/>
      <w:lvlJc w:val="left"/>
      <w:pPr>
        <w:ind w:left="2888" w:hanging="360"/>
      </w:pPr>
    </w:lvl>
    <w:lvl w:ilvl="4" w:tplc="FDA8AD24">
      <w:start w:val="1"/>
      <w:numFmt w:val="lowerLetter"/>
      <w:lvlText w:val="%5."/>
      <w:lvlJc w:val="left"/>
      <w:pPr>
        <w:ind w:left="3608" w:hanging="360"/>
      </w:pPr>
    </w:lvl>
    <w:lvl w:ilvl="5" w:tplc="F47265F4">
      <w:start w:val="1"/>
      <w:numFmt w:val="lowerRoman"/>
      <w:lvlText w:val="%6."/>
      <w:lvlJc w:val="right"/>
      <w:pPr>
        <w:ind w:left="4328" w:hanging="180"/>
      </w:pPr>
    </w:lvl>
    <w:lvl w:ilvl="6" w:tplc="A28099B4">
      <w:start w:val="1"/>
      <w:numFmt w:val="decimal"/>
      <w:lvlText w:val="%7."/>
      <w:lvlJc w:val="left"/>
      <w:pPr>
        <w:ind w:left="5048" w:hanging="360"/>
      </w:pPr>
    </w:lvl>
    <w:lvl w:ilvl="7" w:tplc="F9805D16">
      <w:start w:val="1"/>
      <w:numFmt w:val="lowerLetter"/>
      <w:lvlText w:val="%8."/>
      <w:lvlJc w:val="left"/>
      <w:pPr>
        <w:ind w:left="5768" w:hanging="360"/>
      </w:pPr>
    </w:lvl>
    <w:lvl w:ilvl="8" w:tplc="99DC2036">
      <w:start w:val="1"/>
      <w:numFmt w:val="lowerRoman"/>
      <w:lvlText w:val="%9."/>
      <w:lvlJc w:val="right"/>
      <w:pPr>
        <w:ind w:left="6488"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645372"/>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645372&amp;lt;/CaseID&amp;gt;_x000d__x000a_        &amp;lt;CaseMonth&amp;gt;10&amp;lt;/CaseMonth&amp;gt;_x000d__x000a_        &amp;lt;CaseYear&amp;gt;2022&amp;lt;/CaseYear&amp;gt;_x000d__x000a_        &amp;lt;CaseNumber&amp;gt;4818&amp;lt;/CaseNumber&amp;gt;_x000d__x000a_        &amp;lt;NumeratorGroupID&amp;gt;1&amp;lt;/NumeratorGroupID&amp;gt;_x000d__x000a_        &amp;lt;CaseName&amp;gt;בוזגלו נ&amp;#39; בר&amp;lt;/CaseName&amp;gt;_x000d__x000a_        &amp;lt;CourtID&amp;gt;35&amp;lt;/CourtID&amp;gt;_x000d__x000a_        &amp;lt;CaseTypeID&amp;gt;10262&amp;lt;/CaseTypeID&amp;gt;_x000d__x000a_        &amp;lt;CaseInterestID&amp;gt;167&amp;lt;/CaseInterestID&amp;gt;_x000d__x000a_        &amp;lt;CaseJudgeName&amp;gt;שירלי שי&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818-10-22&amp;lt;/CaseDisplayIdentifier&amp;gt;_x000d__x000a_        &amp;lt;CaseTypeDesc&amp;gt;תלה&amp;quot;מ&amp;lt;/CaseTypeDesc&amp;gt;_x000d__x000a_        &amp;lt;CourtDesc&amp;gt;שלום פתח תקווה&amp;lt;/CourtDesc&amp;gt;_x000d__x000a_        &amp;lt;CaseStageDesc&amp;gt;תיק אלקטרוני&amp;lt;/CaseStageDesc&amp;gt;_x000d__x000a_        &amp;lt;IsUnpaidFeeExist&amp;gt;false&amp;lt;/IsUnpaidFeeExist&amp;gt;_x000d__x000a_        &amp;lt;CaseNextDeterminingTask&amp;gt;257&amp;lt;/CaseNextDeterminingTask&amp;gt;_x000d__x000a_        &amp;lt;CaseOpenDate&amp;gt;2022-10-03T11:53:00+03:00&amp;lt;/CaseOpenDate&amp;gt;_x000d__x000a_        &amp;lt;PleaTypeID&amp;gt;4&amp;lt;/PleaTypeID&amp;gt;_x000d__x000a_        &amp;lt;CourtLevelID&amp;gt;1&amp;lt;/CourtLevelID&amp;gt;_x000d__x000a_        &amp;lt;CourtLevelCaseTypeInterestID&amp;gt;1604&amp;lt;/CourtLevelCaseTypeInterestID&amp;gt;_x000d__x000a_        &amp;lt;CaseJudgeFirstName&amp;gt;שירלי&amp;lt;/CaseJudgeFirstName&amp;gt;_x000d__x000a_        &amp;lt;CaseJudgeLastName&amp;gt;שי&amp;lt;/CaseJudgeLastName&amp;gt;_x000d__x000a_        &amp;lt;JudicalPersonID&amp;gt;022829972@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645372&amp;lt;/CaseID&amp;gt;_x000d__x000a_        &amp;lt;CaseMonth&amp;gt;10&amp;lt;/CaseMonth&amp;gt;_x000d__x000a_        &amp;lt;CaseYear&amp;gt;2022&amp;lt;/CaseYear&amp;gt;_x000d__x000a_        &amp;lt;CaseNumber&amp;gt;4818&amp;lt;/CaseNumber&amp;gt;_x000d__x000a_        &amp;lt;NumeratorGroupID&amp;gt;1&amp;lt;/NumeratorGroupID&amp;gt;_x000d__x000a_        &amp;lt;CaseName&amp;gt;בוזגלו נ&amp;#39; בר&amp;lt;/CaseName&amp;gt;_x000d__x000a_        &amp;lt;CourtID&amp;gt;35&amp;lt;/CourtID&amp;gt;_x000d__x000a_        &amp;lt;CaseTypeID&amp;gt;10262&amp;lt;/CaseTypeID&amp;gt;_x000d__x000a_        &amp;lt;CaseInterestID&amp;gt;167&amp;lt;/CaseInterestID&amp;gt;_x000d__x000a_        &amp;lt;CaseJudgeName&amp;gt;שירלי שי&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818-10-22&amp;lt;/CaseDisplayIdentifier&amp;gt;_x000d__x000a_        &amp;lt;CaseTypeDesc&amp;gt;תלה&amp;quot;מ&amp;lt;/CaseTypeDesc&amp;gt;_x000d__x000a_        &amp;lt;CourtDesc&amp;gt;שלום פתח תקווה&amp;lt;/CourtDesc&amp;gt;_x000d__x000a_        &amp;lt;CaseStageDesc&amp;gt;תיק אלקטרוני&amp;lt;/CaseStageDesc&amp;gt;_x000d__x000a_        &amp;lt;CaseNextDeterminingTask&amp;gt;257&amp;lt;/CaseNextDeterminingTask&amp;gt;_x000d__x000a_        &amp;lt;CaseOpenDate&amp;gt;2022-10-03T11:53:00+03:00&amp;lt;/CaseOpenDate&amp;gt;_x000d__x000a_        &amp;lt;PleaTypeID&amp;gt;4&amp;lt;/PleaTypeID&amp;gt;_x000d__x000a_        &amp;lt;CourtLevelID&amp;gt;1&amp;lt;/CourtLevelID&amp;gt;_x000d__x000a_        &amp;lt;CourtLevelCaseTypeInterestID&amp;gt;1604&amp;lt;/CourtLevelCaseTypeInterestID&amp;gt;_x000d__x000a_        &amp;lt;CaseJudgeFirstName&amp;gt;שירלי&amp;lt;/CaseJudgeFirstName&amp;gt;_x000d__x000a_        &amp;lt;CaseJudgeLastName&amp;gt;שי&amp;lt;/CaseJudgeLastName&amp;gt;_x000d__x000a_        &amp;lt;JudicalPersonID&amp;gt;022829972@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6061319&amp;lt;/DecisionID&amp;gt;_x000d__x000a_        &amp;lt;DecisionName&amp;gt;פסק דין  שניתנה ע&amp;quot;י  שירלי שי&amp;lt;/DecisionName&amp;gt;_x000d__x000a_        &amp;lt;DecisionStatusID&amp;gt;1&amp;lt;/DecisionStatusID&amp;gt;_x000d__x000a_        &amp;lt;DecisionStatusChangeDate&amp;gt;2024-11-21T17:47:52.34+02:00&amp;lt;/DecisionStatusChangeDate&amp;gt;_x000d__x000a_        &amp;lt;DecisionSignatureDate&amp;gt;2024-11-14T14:33:55.35+02:00&amp;lt;/DecisionSignatureDate&amp;gt;_x000d__x000a_        &amp;lt;DecisionSignatureUserID&amp;gt;022829972@GOV.IL&amp;lt;/DecisionSignatureUserID&amp;gt;_x000d__x000a_        &amp;lt;DecisionCreateDate&amp;gt;2024-11-14T14:36:13.693+02:00&amp;lt;/DecisionCreateDate&amp;gt;_x000d__x000a_        &amp;lt;DecisionChangeDate&amp;gt;2024-11-21T17:47:52.377+02:00&amp;lt;/DecisionChangeDate&amp;gt;_x000d__x000a_        &amp;lt;DecisionChangeUserID&amp;gt;022829972@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60662153&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2829972@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2829972@GOV.IL&amp;lt;/DecisionCreationUserID&amp;gt;_x000d__x000a_        &amp;lt;DecisionDisplayName&amp;gt;פסק דין  שניתנה ע&amp;quot;י  שירלי שי&amp;lt;/DecisionDisplayName&amp;gt;_x000d__x000a_        &amp;lt;IsScanned&amp;gt;false&amp;lt;/IsScanned&amp;gt;_x000d__x000a_        &amp;lt;DecisionSignatureUserName&amp;gt;שירלי ש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9&amp;lt;/DecisionNumberInCase&amp;gt;_x000d__x000a_      &amp;lt;/dt_Decision&amp;gt;_x000d__x000a_      &amp;lt;dt_DecisionCase diffgr:id=&amp;quot;dt_DecisionCase1&amp;quot; msdata:rowOrder=&amp;quot;0&amp;quot;&amp;gt;_x000d__x000a_        &amp;lt;DecisionID&amp;gt;156061319&amp;lt;/DecisionID&amp;gt;_x000d__x000a_        &amp;lt;CaseID&amp;gt;79645372&amp;lt;/CaseID&amp;gt;_x000d__x000a_        &amp;lt;IsOriginal&amp;gt;true&amp;lt;/IsOriginal&amp;gt;_x000d__x000a_        &amp;lt;IsDeleted&amp;gt;false&amp;lt;/IsDeleted&amp;gt;_x000d__x000a_        &amp;lt;CaseName&amp;gt;בוזגלו נ&amp;#39; בר&amp;lt;/CaseName&amp;gt;_x000d__x000a_        &amp;lt;CaseDisplayIdentifier&amp;gt;4818-10-22 תלה&amp;quot;מ&amp;lt;/CaseDisplayIdentifier&amp;gt;_x000d__x000a_      &amp;lt;/dt_DecisionCase&amp;gt;_x000d__x000a_    &amp;lt;/DecisionDS&amp;gt;_x000d__x000a_  &amp;lt;/diffgr:diffgram&amp;gt;_x000d__x000a_&amp;lt;/DecisionDS&amp;gt;"/>
    <w:docVar w:name="DecisionID" w:val="156061319"/>
    <w:docVar w:name="WordClientAssemblyName" w:val="NGCS.Decision.ClientWordBL"/>
    <w:docVar w:name="WordClientClassName" w:val="NGCS.Decision.ClientWordBL.DecisionClient"/>
  </w:docVars>
  <w:rsids>
    <w:rsidRoot w:val="00694556"/>
    <w:rsid w:val="00005C8B"/>
    <w:rsid w:val="000146C2"/>
    <w:rsid w:val="00016C35"/>
    <w:rsid w:val="000258FD"/>
    <w:rsid w:val="00031705"/>
    <w:rsid w:val="00043AC3"/>
    <w:rsid w:val="000564AB"/>
    <w:rsid w:val="00067A7F"/>
    <w:rsid w:val="000B479B"/>
    <w:rsid w:val="000D4A02"/>
    <w:rsid w:val="000D5FAA"/>
    <w:rsid w:val="001072A9"/>
    <w:rsid w:val="00121F97"/>
    <w:rsid w:val="001277D7"/>
    <w:rsid w:val="00132017"/>
    <w:rsid w:val="00137D28"/>
    <w:rsid w:val="0014234E"/>
    <w:rsid w:val="00145A87"/>
    <w:rsid w:val="00147247"/>
    <w:rsid w:val="00156AB3"/>
    <w:rsid w:val="001A5656"/>
    <w:rsid w:val="001C4003"/>
    <w:rsid w:val="001F5474"/>
    <w:rsid w:val="002352F7"/>
    <w:rsid w:val="0027277D"/>
    <w:rsid w:val="00273754"/>
    <w:rsid w:val="00274F88"/>
    <w:rsid w:val="002A68D0"/>
    <w:rsid w:val="00326ECE"/>
    <w:rsid w:val="00327C5C"/>
    <w:rsid w:val="00381D3A"/>
    <w:rsid w:val="003823DA"/>
    <w:rsid w:val="00390F5D"/>
    <w:rsid w:val="003B422F"/>
    <w:rsid w:val="003E07D3"/>
    <w:rsid w:val="00411902"/>
    <w:rsid w:val="00412E99"/>
    <w:rsid w:val="00431749"/>
    <w:rsid w:val="0043595F"/>
    <w:rsid w:val="00472BBA"/>
    <w:rsid w:val="0047645A"/>
    <w:rsid w:val="004A0B3E"/>
    <w:rsid w:val="004A2A12"/>
    <w:rsid w:val="004D49A3"/>
    <w:rsid w:val="004D50AC"/>
    <w:rsid w:val="004E6E3C"/>
    <w:rsid w:val="004F4B1E"/>
    <w:rsid w:val="00510E1F"/>
    <w:rsid w:val="005124F1"/>
    <w:rsid w:val="00530BAD"/>
    <w:rsid w:val="00541598"/>
    <w:rsid w:val="00547DB7"/>
    <w:rsid w:val="00564FDD"/>
    <w:rsid w:val="00567324"/>
    <w:rsid w:val="0058451C"/>
    <w:rsid w:val="005934ED"/>
    <w:rsid w:val="005B0F49"/>
    <w:rsid w:val="005C7EC6"/>
    <w:rsid w:val="005D4BDB"/>
    <w:rsid w:val="005D745F"/>
    <w:rsid w:val="00622BAA"/>
    <w:rsid w:val="00625C89"/>
    <w:rsid w:val="00633C4F"/>
    <w:rsid w:val="006442E2"/>
    <w:rsid w:val="00671BD5"/>
    <w:rsid w:val="0067714E"/>
    <w:rsid w:val="006805C1"/>
    <w:rsid w:val="006816EC"/>
    <w:rsid w:val="00694556"/>
    <w:rsid w:val="006E1A53"/>
    <w:rsid w:val="006F060B"/>
    <w:rsid w:val="006F0B46"/>
    <w:rsid w:val="006F10E5"/>
    <w:rsid w:val="007056AA"/>
    <w:rsid w:val="00735576"/>
    <w:rsid w:val="00735A7B"/>
    <w:rsid w:val="00744F41"/>
    <w:rsid w:val="00752D2B"/>
    <w:rsid w:val="00755658"/>
    <w:rsid w:val="007A24FE"/>
    <w:rsid w:val="007A35AA"/>
    <w:rsid w:val="007E386B"/>
    <w:rsid w:val="007F1048"/>
    <w:rsid w:val="00820005"/>
    <w:rsid w:val="00843726"/>
    <w:rsid w:val="00846D27"/>
    <w:rsid w:val="008610A7"/>
    <w:rsid w:val="00865CD3"/>
    <w:rsid w:val="0087493D"/>
    <w:rsid w:val="00877F23"/>
    <w:rsid w:val="008A74E5"/>
    <w:rsid w:val="008B0A49"/>
    <w:rsid w:val="008D3125"/>
    <w:rsid w:val="008D41C4"/>
    <w:rsid w:val="008D46EB"/>
    <w:rsid w:val="008E1332"/>
    <w:rsid w:val="00903896"/>
    <w:rsid w:val="009128A0"/>
    <w:rsid w:val="00927813"/>
    <w:rsid w:val="00942FC5"/>
    <w:rsid w:val="00944D13"/>
    <w:rsid w:val="00957C90"/>
    <w:rsid w:val="00970FD9"/>
    <w:rsid w:val="009B70F6"/>
    <w:rsid w:val="009C358E"/>
    <w:rsid w:val="009D7608"/>
    <w:rsid w:val="009E0263"/>
    <w:rsid w:val="00A157D9"/>
    <w:rsid w:val="00A267CF"/>
    <w:rsid w:val="00A342BD"/>
    <w:rsid w:val="00A414A6"/>
    <w:rsid w:val="00A43458"/>
    <w:rsid w:val="00A460D9"/>
    <w:rsid w:val="00A52E40"/>
    <w:rsid w:val="00A604AF"/>
    <w:rsid w:val="00A80FC8"/>
    <w:rsid w:val="00A85A6C"/>
    <w:rsid w:val="00AB2429"/>
    <w:rsid w:val="00AC4E19"/>
    <w:rsid w:val="00AF1ED6"/>
    <w:rsid w:val="00B226F7"/>
    <w:rsid w:val="00B32C61"/>
    <w:rsid w:val="00B368FE"/>
    <w:rsid w:val="00B42BE2"/>
    <w:rsid w:val="00B5042C"/>
    <w:rsid w:val="00B74963"/>
    <w:rsid w:val="00B80CBD"/>
    <w:rsid w:val="00B83861"/>
    <w:rsid w:val="00B84376"/>
    <w:rsid w:val="00BC3369"/>
    <w:rsid w:val="00BF77EE"/>
    <w:rsid w:val="00C32E0F"/>
    <w:rsid w:val="00C42BF9"/>
    <w:rsid w:val="00C83E56"/>
    <w:rsid w:val="00C9489C"/>
    <w:rsid w:val="00CC63CE"/>
    <w:rsid w:val="00D319B3"/>
    <w:rsid w:val="00D36A71"/>
    <w:rsid w:val="00D41A59"/>
    <w:rsid w:val="00D53924"/>
    <w:rsid w:val="00D60849"/>
    <w:rsid w:val="00D717DB"/>
    <w:rsid w:val="00D923F7"/>
    <w:rsid w:val="00D96D8C"/>
    <w:rsid w:val="00DA755B"/>
    <w:rsid w:val="00DD337E"/>
    <w:rsid w:val="00DF1E34"/>
    <w:rsid w:val="00E00B6F"/>
    <w:rsid w:val="00E05A45"/>
    <w:rsid w:val="00E27EE7"/>
    <w:rsid w:val="00E30C92"/>
    <w:rsid w:val="00E44DDF"/>
    <w:rsid w:val="00E54642"/>
    <w:rsid w:val="00E66998"/>
    <w:rsid w:val="00E671F2"/>
    <w:rsid w:val="00E72D1E"/>
    <w:rsid w:val="00E93379"/>
    <w:rsid w:val="00E97908"/>
    <w:rsid w:val="00EB1F3F"/>
    <w:rsid w:val="00EE45CD"/>
    <w:rsid w:val="00EF3ED0"/>
    <w:rsid w:val="00F147F1"/>
    <w:rsid w:val="00F15EC8"/>
    <w:rsid w:val="00F17E56"/>
    <w:rsid w:val="00F37117"/>
    <w:rsid w:val="00FB3C14"/>
    <w:rsid w:val="00FC79E5"/>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970FD9"/>
    <w:pPr>
      <w:spacing w:after="160" w:line="256" w:lineRule="auto"/>
      <w:ind w:left="720"/>
      <w:contextualSpacing/>
    </w:pPr>
    <w:rPr>
      <w:rFonts w:asciiTheme="minorHAnsi" w:eastAsiaTheme="minorHAnsi" w:hAnsiTheme="minorHAnsi" w:cstheme="minorBidi"/>
      <w:noProof w:val="0"/>
      <w:sz w:val="22"/>
      <w:szCs w:val="22"/>
    </w:rPr>
  </w:style>
  <w:style w:type="paragraph" w:styleId="NormalWeb">
    <w:name w:val="Normal (Web)"/>
    <w:basedOn w:val="a"/>
    <w:uiPriority w:val="99"/>
    <w:semiHidden/>
    <w:unhideWhenUsed/>
    <w:rsid w:val="003B422F"/>
    <w:pPr>
      <w:bidi w:val="0"/>
      <w:spacing w:before="100" w:beforeAutospacing="1" w:after="100" w:afterAutospacing="1"/>
    </w:pPr>
    <w:rPr>
      <w:rFonts w:cs="Times New Roman"/>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336626">
      <w:bodyDiv w:val="1"/>
      <w:marLeft w:val="0"/>
      <w:marRight w:val="0"/>
      <w:marTop w:val="0"/>
      <w:marBottom w:val="0"/>
      <w:divBdr>
        <w:top w:val="none" w:sz="0" w:space="0" w:color="auto"/>
        <w:left w:val="none" w:sz="0" w:space="0" w:color="auto"/>
        <w:bottom w:val="none" w:sz="0" w:space="0" w:color="auto"/>
        <w:right w:val="none" w:sz="0" w:space="0" w:color="auto"/>
      </w:divBdr>
    </w:div>
    <w:div w:id="594216679">
      <w:bodyDiv w:val="1"/>
      <w:marLeft w:val="0"/>
      <w:marRight w:val="0"/>
      <w:marTop w:val="0"/>
      <w:marBottom w:val="0"/>
      <w:divBdr>
        <w:top w:val="none" w:sz="0" w:space="0" w:color="auto"/>
        <w:left w:val="none" w:sz="0" w:space="0" w:color="auto"/>
        <w:bottom w:val="none" w:sz="0" w:space="0" w:color="auto"/>
        <w:right w:val="none" w:sz="0" w:space="0" w:color="auto"/>
      </w:divBdr>
    </w:div>
    <w:div w:id="967246775">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0033995">
      <w:bodyDiv w:val="1"/>
      <w:marLeft w:val="0"/>
      <w:marRight w:val="0"/>
      <w:marTop w:val="0"/>
      <w:marBottom w:val="0"/>
      <w:divBdr>
        <w:top w:val="none" w:sz="0" w:space="0" w:color="auto"/>
        <w:left w:val="none" w:sz="0" w:space="0" w:color="auto"/>
        <w:bottom w:val="none" w:sz="0" w:space="0" w:color="auto"/>
        <w:right w:val="none" w:sz="0" w:space="0" w:color="auto"/>
      </w:divBdr>
    </w:div>
    <w:div w:id="2118987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jp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833049"/>
    <w:rsid w:val="00B40AEB"/>
    <w:rsid w:val="00B65812"/>
    <w:rsid w:val="00B9365E"/>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79645372</CaseID>
    <CaseJudicialPersonPresentationDS>
      <CaseJudicalPersonActive>
        <CaseID>79645372</CaseID>
        <JudicialPersonID>022829972@GOV.IL</JudicialPersonID>
        <JudicialPersonTypeID>1</JudicialPersonTypeID>
        <JudicialTypeID>1</JudicialTypeID>
        <IsChairman>false</IsChairman>
        <TreatmentStartDate>2024-09-12T11:25:30.447+03:00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iesSelectionDS>
      <CaseParties>
        <PartyTypeName>עד</PartyTypeName>
        <ProceedingType>בית משפט</ProceedingType>
        <PleaName>כתב תביעה</PleaName>
        <PartyBelonging> - </PartyBelonging>
        <RoleName>עד בית משפט </RoleName>
        <IsSubProceeding>FALSE</IsSubProceeding>
        <FullName>עו"ד גיל בר זהר</FullName>
        <FirstName>עו"ד גיל</FirstName>
        <LastName>בר זהר</LastName>
        <PartyPropertyName/>
        <AuthenticationTypeAndNumber>ת"ז </AuthenticationTypeAndNumber>
        <RepresentatedOrRepresentativesNames/>
        <RepresentatedOrRepresentativesCount>0</RepresentatedOrRepresentativesCount>
        <InvitedBy/>
        <CaseID>79645372</CaseID>
        <CaseJudicialPersonPresentationDS>
          <CaseJudicalPersonActive>
            <CaseID>79645372</CaseID>
            <JudicialPersonID>022829972@GOV.IL</JudicialPersonID>
            <JudicialPersonTypeID>1</JudicialPersonTypeID>
            <JudicialTypeID>1</JudicialTypeID>
            <IsChairman>false</IsChairman>
            <TreatmentStartDate>2024-09-12T11:25:30.447+03:00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257289851</CasePartyID>
        <PartyTypeID>4</PartyTypeID>
        <ActivityStatusID>1</ActivityStatusID>
        <PartyAliasID>101</PartyAliasID>
        <PartyAliasName>עד בית משפט</PartyAliasName>
        <LegalEntityID>81291331</LegalEntityID>
        <CaseLegalEntityID>124848492</CaseLegalEntityID>
        <AuthenticationTypeID>1</AuthenticationTypeID>
        <AuthenticationTypeName>ת"ז</AuthenticationTypeName>
        <IsMainPartyType>true</IsMainPartyType>
        <CaseDisplayIdentifier>4818-10-22</CaseDisplayIdentifier>
        <CaseTypeID>10262</CaseTypeID>
        <CaseTypeName>תביעה לאחר הסדר התדיינויות במשפחה (תלה"מ)</CaseTypeName>
        <CaseName>בוזגלו נ' בר</CaseName>
        <FullAddress>דרך מנחם בגין 156 תל אביב -יפו מגדל רסיטל ק' 18</FullAddress>
        <MotionID>0</MotionID>
        <CasePleaID>0</CasePleaID>
        <LinkedCaseID>0</LinkedCaseID>
        <CasePartyCategoryID>1</CasePartyCategoryID>
        <LegalEntityAddressID>88071274</LegalEntityAddressID>
        <PleaTypeID>4</PleaTypeID>
        <GroupPartyAlias/>
        <IsConverted>false</IsConverted>
        <LegalEntityNameID>95053507</LegalEntityNameID>
        <RepresentatedNamesOfAssistant/>
        <LegalEntityTypeID>1</LegalEntityTypeID>
        <IsVerdictExists>false</IsVerdictExists>
        <IsAsirAzir>false</IsAsirAzir>
        <MainAndSecSpec/>
        <IsPublicationProhibited>false</IsPublicationProhibited>
        <PublicationProhibitedFullName>עו"ד גיל בר זהר</PublicationProhibitedFullName>
      </CaseParties>
      <CaseParties>
        <PartyTypeName>מסייע</PartyTypeName>
        <ProceedingType>כתב טענות עיקרי</ProceedingType>
        <PleaName>כתב תביעה</PleaName>
        <PartyBelonging> - </PartyBelonging>
        <RoleName>חברת הקלטה</RoleName>
        <IsSubProceeding>FALSE</IsSubProceeding>
        <FullName>איטייפ-אומניטק בע"מ</FullName>
        <LastName>איטייפ-אומניטק בע"מ</LastName>
        <PartyPropertyName/>
        <AuthenticationTypeAndNumber>חברות 513744136</AuthenticationTypeAndNumber>
        <RepresentatedOrRepresentativesNames/>
        <RepresentatedOrRepresentativesCount>0</RepresentatedOrRepresentativesCount>
        <InvitedBy/>
        <CaseID>79645372</CaseID>
        <CaseJudicialPersonPresentationDS>
          <CaseJudicalPersonActive>
            <CaseID>79645372</CaseID>
            <JudicialPersonID>022829972@GOV.IL</JudicialPersonID>
            <JudicialPersonTypeID>1</JudicialPersonTypeID>
            <JudicialTypeID>1</JudicialTypeID>
            <IsChairman>false</IsChairman>
            <TreatmentStartDate>2024-09-12T11:25:30.447+03:00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276306536</CasePartyID>
        <PartyTypeID>3</PartyTypeID>
        <ActivityStatusID>1</ActivityStatusID>
        <LegalEntityID>33187248</LegalEntityID>
        <CaseLegalEntityID>131857421</CaseLegalEntityID>
        <AssistantRoleID>27</AssistantRoleID>
        <AuthenticationTypeID>3</AuthenticationTypeID>
        <AuthenticationTypeName>חברות</AuthenticationTypeName>
        <LegalEntityNumber>513744136</LegalEntityNumber>
        <IsMainPartyType>true</IsMainPartyType>
        <CaseDisplayIdentifier>4818-10-22</CaseDisplayIdentifier>
        <CaseTypeID>10262</CaseTypeID>
        <CaseTypeName>תביעה לאחר הסדר התדיינויות במשפחה (תלה"מ)</CaseTypeName>
        <CaseName>בוזגלו נ' בר</CaseName>
        <FullAddress>האופן 5 פתח תקווה </FullAddress>
        <EmailAddress>court@etype.co.il</EmailAddress>
        <MotionID>0</MotionID>
        <CasePleaID>0</CasePleaID>
        <LinkedCaseID>0</LinkedCaseID>
        <PartyID>1</PartyID>
        <CasePartyCategoryID>2</CasePartyCategoryID>
        <LegalEntityAddressID>79239784</LegalEntityAddressID>
        <LegalEntityEmailAddressID>67925683</LegalEntityEmailAddressID>
        <PleaTypeID>4</PleaTypeID>
        <GroupPartyAlias/>
        <IsConverted>false</IsConverted>
        <LegalEntityRegisteredNameID>2758567</LegalEntityRegisteredNameID>
        <RepresentatedNamesOfAssistant/>
        <LegalEntityTypeID>3</LegalEntityTypeID>
        <IsVerdictExists>false</IsVerdictExists>
        <IsAsirAzir>false</IsAsirAzir>
        <MainAndSecSpec/>
        <IsPublicationProhibited>false</IsPublicationProhibited>
        <PublicationProhibitedFullName>איטייפ-אומניטק בע"מ</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גיל לוי-צדק</FullName>
        <FirstName>גיל</FirstName>
        <LastName>לוי-צדק</LastName>
        <PartyPropertyName/>
        <AuthenticationTypeAndNumber>מ.ר. 53882</AuthenticationTypeAndNumber>
        <RepresentatedOrRepresentativesNames>איילת בר</RepresentatedOrRepresentativesNames>
        <RepresentatedOrRepresentativesCount>1</RepresentatedOrRepresentativesCount>
        <InvitedBy/>
        <CaseID>79645372</CaseID>
        <CaseJudicialPersonPresentationDS>
          <CaseJudicalPersonActive>
            <CaseID>79645372</CaseID>
            <JudicialPersonID>022829972@GOV.IL</JudicialPersonID>
            <JudicialPersonTypeID>1</JudicialPersonTypeID>
            <JudicialTypeID>1</JudicialTypeID>
            <IsChairman>false</IsChairman>
            <TreatmentStartDate>2024-09-12T11:25:30.447+03:00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247069474</CasePartyID>
        <PartyTypeID>2</PartyTypeID>
        <ActivityStatusID>1</ActivityStatusID>
        <PartyAliasID>21</PartyAliasID>
        <PartyAliasName>בא כוח נתבעים</PartyAliasName>
        <LegalEntityID>76449068</LegalEntityID>
        <CaseLegalEntityID>121698254</CaseLegalEntityID>
        <AuthenticationTypeID>4</AuthenticationTypeID>
        <AuthenticationTypeName>מ.ר.</AuthenticationTypeName>
        <LegalEntityNumber>53882</LegalEntityNumber>
        <IsMainPartyType>true</IsMainPartyType>
        <CaseDisplayIdentifier>4818-10-22</CaseDisplayIdentifier>
        <CaseTypeID>10262</CaseTypeID>
        <CaseTypeName>תביעה לאחר הסדר התדיינויות במשפחה (תלה"מ)</CaseTypeName>
        <CaseName>בוזגלו נ' בר</CaseName>
        <FullAddress>הירדן 42 רמת גן </FullAddress>
        <EmailAddress>levitzedekadv@gmail.com</EmailAddress>
        <MotionID>0</MotionID>
        <CasePleaID>0</CasePleaID>
        <LinkedCaseID>0</LinkedCaseID>
        <PartyID>2</PartyID>
        <CasePartyCategoryID>2</CasePartyCategoryID>
        <LegalEntityAddressID>85453708</LegalEntityAddressID>
        <LegalEntityEmailAddressID>67948175</LegalEntityEmailAddressID>
        <PleaTypeID>4</PleaTypeID>
        <LawyerOfficeName>משרד עו"ד גיל לוי-צדק</LawyerOfficeName>
        <LawyerOfficeID>76449069</LawyerOfficeID>
        <GroupPartyAlias/>
        <IsConverted>false</IsConverted>
        <LegalEntityNameID>84051253</LegalEntityNameID>
        <RepresentatedNamesOfAssistant/>
        <LegalEntityTypeID>4</LegalEntityTypeID>
        <IsVerdictExists>false</IsVerdictExists>
        <IsAsirAzir>false</IsAsirAzir>
        <MainAndSecSpec/>
        <IsPublicationProhibited>false</IsPublicationProhibited>
        <PublicationProhibitedFullName>גיל לוי-צדק</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רמי סינואני</FullName>
        <FirstName>רמי</FirstName>
        <LastName>סינואני</LastName>
        <PartyPropertyName/>
        <AuthenticationTypeAndNumber>מ.ר. 38385</AuthenticationTypeAndNumber>
        <RepresentatedOrRepresentativesNames>איילת בר</RepresentatedOrRepresentativesNames>
        <RepresentatedOrRepresentativesCount>1</RepresentatedOrRepresentativesCount>
        <InvitedBy/>
        <CaseID>79645372</CaseID>
        <CaseJudicialPersonPresentationDS>
          <CaseJudicalPersonActive>
            <CaseID>79645372</CaseID>
            <JudicialPersonID>022829972@GOV.IL</JudicialPersonID>
            <JudicialPersonTypeID>1</JudicialPersonTypeID>
            <JudicialTypeID>1</JudicialTypeID>
            <IsChairman>false</IsChairman>
            <TreatmentStartDate>2024-09-12T11:25:30.447+03:00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247069519</CasePartyID>
        <PartyTypeID>2</PartyTypeID>
        <ActivityStatusID>1</ActivityStatusID>
        <PartyAliasID>21</PartyAliasID>
        <PartyAliasName>בא כוח נתבעים</PartyAliasName>
        <LegalEntityID>408904</LegalEntityID>
        <CaseLegalEntityID>121698269</CaseLegalEntityID>
        <AuthenticationTypeID>4</AuthenticationTypeID>
        <AuthenticationTypeName>מ.ר.</AuthenticationTypeName>
        <LegalEntityNumber>38385</LegalEntityNumber>
        <IsMainPartyType>true</IsMainPartyType>
        <CaseDisplayIdentifier>4818-10-22</CaseDisplayIdentifier>
        <CaseTypeID>10262</CaseTypeID>
        <CaseTypeName>תביעה לאחר הסדר התדיינויות במשפחה (תלה"מ)</CaseTypeName>
        <CaseName>בוזגלו נ' בר</CaseName>
        <FullAddress>הירדן 42 דירה 1 רמת גן </FullAddress>
        <EmailAddress>RAMISINSIN@GMAIL.COM</EmailAddress>
        <MotionID>0</MotionID>
        <CasePleaID>0</CasePleaID>
        <FatherName xml:space="preserve">        </FatherName>
        <LinkedCaseID>0</LinkedCaseID>
        <PartyID>2</PartyID>
        <CasePartyCategoryID>2</CasePartyCategoryID>
        <LegalEntityAddressID>2116230</LegalEntityAddressID>
        <LegalEntityEmailAddressID>68313161</LegalEntityEmailAddressID>
        <PleaTypeID>4</PleaTypeID>
        <LawyerOfficeName>משרד עו"ד: רמי סינואני</LawyerOfficeName>
        <LawyerOfficeID>449548</LawyerOfficeID>
        <GroupPartyAlias/>
        <IsConverted>false</IsConverted>
        <LegalEntityNameID>29888</LegalEntityNameID>
        <RepresentatedNamesOfAssistant/>
        <LegalEntityTypeID>4</LegalEntityTypeID>
        <IsVerdictExists>false</IsVerdictExists>
        <IsAsirAzir>false</IsAsirAzir>
        <MainAndSecSpec/>
        <IsPublicationProhibited>false</IsPublicationProhibited>
        <PublicationProhibitedFullName>רמי סינואני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אסף בוזגלו</FullName>
        <FirstName>אסף</FirstName>
        <LastName>בוזגלו</LastName>
        <PartyPropertyName/>
        <AuthenticationTypeAndNumber>ת"ז 036065829</AuthenticationTypeAndNumber>
        <RepresentatedOrRepresentativesNames>ידידיה מנדל</RepresentatedOrRepresentativesNames>
        <RepresentatedOrRepresentativesCount>1</RepresentatedOrRepresentativesCount>
        <InvitedBy/>
        <CaseID>79645372</CaseID>
        <CaseJudicialPersonPresentationDS>
          <CaseJudicalPersonActive>
            <CaseID>79645372</CaseID>
            <JudicialPersonID>022829972@GOV.IL</JudicialPersonID>
            <JudicialPersonTypeID>1</JudicialPersonTypeID>
            <JudicialTypeID>1</JudicialTypeID>
            <IsChairman>false</IsChairman>
            <TreatmentStartDate>2024-09-12T11:25:30.447+03:00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246399247</CasePartyID>
        <PartyTypeID>1</PartyTypeID>
        <ActivityStatusID>1</ActivityStatusID>
        <PartyAliasID>1</PartyAliasID>
        <PartyAliasName>תובע</PartyAliasName>
        <OrdinalNumber>1</OrdinalNumber>
        <LegalEntityID>13072171</LegalEntityID>
        <CaseLegalEntityID>121481368</CaseLegalEntityID>
        <AuthenticationTypeID>1</AuthenticationTypeID>
        <AuthenticationTypeName>ת"ז</AuthenticationTypeName>
        <LegalEntityNumber>036065829</LegalEntityNumber>
        <IsMainPartyType>true</IsMainPartyType>
        <CaseDisplayIdentifier>4818-10-22</CaseDisplayIdentifier>
        <CaseTypeID>10262</CaseTypeID>
        <CaseTypeName>תביעה לאחר הסדר התדיינויות במשפחה (תלה"מ)</CaseTypeName>
        <CaseName>בוזגלו נ' בר</CaseName>
        <FullAddress>התאנה 19 שערי תקווה </FullAddress>
        <MotionID>0</MotionID>
        <CasePleaID>0</CasePleaID>
        <FatherName>יעקב</FatherName>
        <LinkedCaseID>0</LinkedCaseID>
        <PartyID>1</PartyID>
        <CasePartyCategoryID>2</CasePartyCategoryID>
        <LegalEntityAddressID>87035197</LegalEntityAddressID>
        <PleaTypeID>4</PleaTypeID>
        <GroupPartyAlias>תובעים</GroupPartyAlias>
        <IsConverted>false</IsConverted>
        <LegalEntityRegisteredNameID>9915769</LegalEntityRegisteredNameID>
        <LegalEntityNameID>93764659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אסף בוזגלו</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ידידיה מנדל</FullName>
        <FirstName>ידידיה</FirstName>
        <LastName>מנדל</LastName>
        <PartyPropertyName/>
        <AuthenticationTypeAndNumber>מ.ר. 62068</AuthenticationTypeAndNumber>
        <RepresentatedOrRepresentativesNames>אסף בוזגלו</RepresentatedOrRepresentativesNames>
        <RepresentatedOrRepresentativesCount>1</RepresentatedOrRepresentativesCount>
        <InvitedBy/>
        <CaseID>79645372</CaseID>
        <CaseJudicialPersonPresentationDS>
          <CaseJudicalPersonActive>
            <CaseID>79645372</CaseID>
            <JudicialPersonID>022829972@GOV.IL</JudicialPersonID>
            <JudicialPersonTypeID>1</JudicialPersonTypeID>
            <JudicialTypeID>1</JudicialTypeID>
            <IsChairman>false</IsChairman>
            <TreatmentStartDate>2024-09-12T11:25:30.447+03:00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246399248</CasePartyID>
        <PartyTypeID>2</PartyTypeID>
        <ActivityStatusID>1</ActivityStatusID>
        <PartyAliasID>20</PartyAliasID>
        <PartyAliasName>בא כוח תובעים</PartyAliasName>
        <OrdinalNumber>1</OrdinalNumber>
        <LegalEntityID>72111739</LegalEntityID>
        <CaseLegalEntityID>121481369</CaseLegalEntityID>
        <AuthenticationTypeID>4</AuthenticationTypeID>
        <AuthenticationTypeName>מ.ר.</AuthenticationTypeName>
        <LegalEntityNumber>62068</LegalEntityNumber>
        <IsMainPartyType>true</IsMainPartyType>
        <CaseDisplayIdentifier>4818-10-22</CaseDisplayIdentifier>
        <CaseTypeID>10262</CaseTypeID>
        <CaseTypeName>תביעה לאחר הסדר התדיינויות במשפחה (תלה"מ)</CaseTypeName>
        <CaseName>בוזגלו נ' בר</CaseName>
        <FullAddress>משה דין 14 פתח תקווה קומה 1</FullAddress>
        <EmailAddress>ym@mandel-law.co.il</EmailAddress>
        <MotionID>0</MotionID>
        <CasePleaID>0</CasePleaID>
        <LinkedCaseID>0</LinkedCaseID>
        <PartyID>1</PartyID>
        <CasePartyCategoryID>2</CasePartyCategoryID>
        <LegalEntityAddressID>83140100</LegalEntityAddressID>
        <LegalEntityEmailAddressID>67855100</LegalEntityEmailAddressID>
        <PleaTypeID>4</PleaTypeID>
        <LawyerOfficeName>משרד עו"ד ידידיה מנדל</LawyerOfficeName>
        <LawyerOfficeID>72111740</LawyerOfficeID>
        <GroupPartyAlias/>
        <IsConverted>false</IsConverted>
        <LegalEntityNameID>75793071</LegalEntityNameID>
        <RepresentatedNamesOfAssistant/>
        <LegalEntityTypeID>4</LegalEntityTypeID>
        <IsVerdictExists>false</IsVerdictExists>
        <IsAsirAzir>false</IsAsirAzir>
        <MainAndSecSpec/>
        <IsPublicationProhibited>false</IsPublicationProhibited>
        <PublicationProhibitedFullName>ידידיה מנדל</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איילת בר</FullName>
        <FirstName>איילת</FirstName>
        <LastName>בר</LastName>
        <PartyPropertyName/>
        <AuthenticationTypeAndNumber>ת"ז 039108774</AuthenticationTypeAndNumber>
        <RepresentatedOrRepresentativesNames>גיל לוי-צדק, רמי סינואני</RepresentatedOrRepresentativesNames>
        <RepresentatedOrRepresentativesCount>2</RepresentatedOrRepresentativesCount>
        <InvitedBy/>
        <CaseID>79645372</CaseID>
        <CaseJudicialPersonPresentationDS>
          <CaseJudicalPersonActive>
            <CaseID>79645372</CaseID>
            <JudicialPersonID>022829972@GOV.IL</JudicialPersonID>
            <JudicialPersonTypeID>1</JudicialPersonTypeID>
            <JudicialTypeID>1</JudicialTypeID>
            <IsChairman>false</IsChairman>
            <TreatmentStartDate>2024-09-12T11:25:30.447+03:00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246399249</CasePartyID>
        <PartyTypeID>1</PartyTypeID>
        <ActivityStatusID>1</ActivityStatusID>
        <PartyAliasID>2</PartyAliasID>
        <PartyAliasName>נתבע</PartyAliasName>
        <OrdinalNumber>1</OrdinalNumber>
        <LegalEntityID>74874672</LegalEntityID>
        <CaseLegalEntityID>121481370</CaseLegalEntityID>
        <AuthenticationTypeID>1</AuthenticationTypeID>
        <AuthenticationTypeName>ת"ז</AuthenticationTypeName>
        <LegalEntityNumber>039108774</LegalEntityNumber>
        <IsMainPartyType>true</IsMainPartyType>
        <CaseDisplayIdentifier>4818-10-22</CaseDisplayIdentifier>
        <CaseTypeID>10262</CaseTypeID>
        <CaseTypeName>תביעה לאחר הסדר התדיינויות במשפחה (תלה"מ)</CaseTypeName>
        <CaseName>בוזגלו נ' בר</CaseName>
        <FullAddress>התאנה 19 שערי תקווה </FullAddress>
        <MotionID>0</MotionID>
        <CasePleaID>0</CasePleaID>
        <FatherName>דוד</FatherName>
        <LinkedCaseID>0</LinkedCaseID>
        <PartyID>2</PartyID>
        <CasePartyCategoryID>2</CasePartyCategoryID>
        <LegalEntityAddressID>87035198</LegalEntityAddressID>
        <PleaTypeID>4</PleaTypeID>
        <GroupPartyAlias>נתבעים</GroupPartyAlias>
        <IsConverted>false</IsConverted>
        <LegalEntityRegisteredNameID>9915768</LegalEntityRegisteredNameID>
        <LegalEntityNameID>93764660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איילת בר</PublicationProhibitedFullName>
      </CaseParties>
    </CasePartiesSelectionDS>
    <DecisionName>פסק דין  שניתנה ע"י  שירלי שי</DecisionName>
    <CourtDisplayName>בית משפט לענייני משפחה בפתח תקווה</CourtDisplayName>
    <IsCaseJudgePanel>false</IsCaseJudgePanel>
    <DecisionSignatureDate>2024-11-14T14:33:55.3495181+02:00</DecisionSignatureDate>
    <OpenCaseDate>2022-10-03T11:53:00+03:00</OpenCaseDate>
    <CaseFeeSum>0.000</CaseFeeSum>
    <DecisionTypeID>2</DecisionTypeID>
    <DecisionSignatureUserName>שירלי שי</DecisionSignatureUserName>
    <DecisionSignatureDateHebrew>2024-11-14T14:33:55.3495181+02:00</DecisionSignatureDateHebrew>
    <DecisionWriterID>022829972@GOV.IL</DecisionWriterID>
    <CourtAddress>רח' בזל 1 א', פתח תקווה -1</CourtAddress>
    <IsAutoTextInCaseExist>false</IsAutoTextInCaseExist>
    <DecisionSignatureRoleName>שופט</DecisionSignatureRoleName>
    <DecisionSignatureUserTitleName>שופטת</DecisionSignatureUserTitleName>
    <CaseName>בוזגלו נ' בר</CaseName>
    <DecisionNumberInCase>19</DecisionNumberInCase>
  </dt_Decision>
  <dt_DecisionCase>
    <DecisionID>0</DecisionID>
    <CaseID>79645372</CaseID>
    <CaseJudicialPersonPresentationDS>
      <CaseJudicalPersonActive>
        <CaseID>79645372</CaseID>
        <JudicialPersonID>022829972@GOV.IL</JudicialPersonID>
        <JudicialPersonTypeID>1</JudicialPersonTypeID>
        <JudicialTypeID>1</JudicialTypeID>
        <IsChairman>false</IsChairman>
        <TreatmentStartDate>2024-09-12T11:25:30.447+03:00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iesSelectionDS>
      <CaseParties>
        <PartyTypeName>עד</PartyTypeName>
        <ProceedingType>בית משפט</ProceedingType>
        <PleaName>כתב תביעה</PleaName>
        <PartyBelonging> - </PartyBelonging>
        <RoleName>עד בית משפט </RoleName>
        <IsSubProceeding>FALSE</IsSubProceeding>
        <FullName>עו"ד גיל בר זהר</FullName>
        <FirstName>עו"ד גיל</FirstName>
        <LastName>בר זהר</LastName>
        <PartyPropertyName/>
        <AuthenticationTypeAndNumber>ת"ז </AuthenticationTypeAndNumber>
        <RepresentatedOrRepresentativesNames/>
        <RepresentatedOrRepresentativesCount>0</RepresentatedOrRepresentativesCount>
        <InvitedBy/>
        <CaseID>79645372</CaseID>
        <CaseJudicialPersonPresentationDS>
          <CaseJudicalPersonActive>
            <CaseID>79645372</CaseID>
            <JudicialPersonID>022829972@GOV.IL</JudicialPersonID>
            <JudicialPersonTypeID>1</JudicialPersonTypeID>
            <JudicialTypeID>1</JudicialTypeID>
            <IsChairman>false</IsChairman>
            <TreatmentStartDate>2024-09-12T11:25:30.447+03:00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257289851</CasePartyID>
        <PartyTypeID>4</PartyTypeID>
        <ActivityStatusID>1</ActivityStatusID>
        <PartyAliasID>101</PartyAliasID>
        <PartyAliasName>עד בית משפט</PartyAliasName>
        <LegalEntityID>81291331</LegalEntityID>
        <CaseLegalEntityID>124848492</CaseLegalEntityID>
        <AuthenticationTypeID>1</AuthenticationTypeID>
        <AuthenticationTypeName>ת"ז</AuthenticationTypeName>
        <IsMainPartyType>true</IsMainPartyType>
        <CaseDisplayIdentifier>4818-10-22</CaseDisplayIdentifier>
        <CaseTypeID>10262</CaseTypeID>
        <CaseTypeName>תביעה לאחר הסדר התדיינויות במשפחה (תלה"מ)</CaseTypeName>
        <CaseName>בוזגלו נ' בר</CaseName>
        <FullAddress>דרך מנחם בגין 156 תל אביב -יפו מגדל רסיטל ק' 18</FullAddress>
        <MotionID>0</MotionID>
        <CasePleaID>0</CasePleaID>
        <LinkedCaseID>0</LinkedCaseID>
        <CasePartyCategoryID>1</CasePartyCategoryID>
        <LegalEntityAddressID>88071274</LegalEntityAddressID>
        <PleaTypeID>4</PleaTypeID>
        <GroupPartyAlias/>
        <IsConverted>false</IsConverted>
        <LegalEntityNameID>95053507</LegalEntityNameID>
        <RepresentatedNamesOfAssistant/>
        <LegalEntityTypeID>1</LegalEntityTypeID>
        <IsVerdictExists>false</IsVerdictExists>
        <IsAsirAzir>false</IsAsirAzir>
        <MainAndSecSpec/>
        <IsPublicationProhibited>false</IsPublicationProhibited>
        <PublicationProhibitedFullName>עו"ד גיל בר זהר</PublicationProhibitedFullName>
      </CaseParties>
      <CaseParties>
        <PartyTypeName>מסייע</PartyTypeName>
        <ProceedingType>כתב טענות עיקרי</ProceedingType>
        <PleaName>כתב תביעה</PleaName>
        <PartyBelonging> - </PartyBelonging>
        <RoleName>חברת הקלטה</RoleName>
        <IsSubProceeding>FALSE</IsSubProceeding>
        <FullName>איטייפ-אומניטק בע"מ</FullName>
        <LastName>איטייפ-אומניטק בע"מ</LastName>
        <PartyPropertyName/>
        <AuthenticationTypeAndNumber>חברות 513744136</AuthenticationTypeAndNumber>
        <RepresentatedOrRepresentativesNames/>
        <RepresentatedOrRepresentativesCount>0</RepresentatedOrRepresentativesCount>
        <InvitedBy/>
        <CaseID>79645372</CaseID>
        <CaseJudicialPersonPresentationDS>
          <CaseJudicalPersonActive>
            <CaseID>79645372</CaseID>
            <JudicialPersonID>022829972@GOV.IL</JudicialPersonID>
            <JudicialPersonTypeID>1</JudicialPersonTypeID>
            <JudicialTypeID>1</JudicialTypeID>
            <IsChairman>false</IsChairman>
            <TreatmentStartDate>2024-09-12T11:25:30.447+03:00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276306536</CasePartyID>
        <PartyTypeID>3</PartyTypeID>
        <ActivityStatusID>1</ActivityStatusID>
        <LegalEntityID>33187248</LegalEntityID>
        <CaseLegalEntityID>131857421</CaseLegalEntityID>
        <AssistantRoleID>27</AssistantRoleID>
        <AuthenticationTypeID>3</AuthenticationTypeID>
        <AuthenticationTypeName>חברות</AuthenticationTypeName>
        <LegalEntityNumber>513744136</LegalEntityNumber>
        <IsMainPartyType>true</IsMainPartyType>
        <CaseDisplayIdentifier>4818-10-22</CaseDisplayIdentifier>
        <CaseTypeID>10262</CaseTypeID>
        <CaseTypeName>תביעה לאחר הסדר התדיינויות במשפחה (תלה"מ)</CaseTypeName>
        <CaseName>בוזגלו נ' בר</CaseName>
        <FullAddress>האופן 5 פתח תקווה </FullAddress>
        <EmailAddress>court@etype.co.il</EmailAddress>
        <MotionID>0</MotionID>
        <CasePleaID>0</CasePleaID>
        <LinkedCaseID>0</LinkedCaseID>
        <PartyID>1</PartyID>
        <CasePartyCategoryID>2</CasePartyCategoryID>
        <LegalEntityAddressID>79239784</LegalEntityAddressID>
        <LegalEntityEmailAddressID>67925683</LegalEntityEmailAddressID>
        <PleaTypeID>4</PleaTypeID>
        <GroupPartyAlias/>
        <IsConverted>false</IsConverted>
        <LegalEntityRegisteredNameID>2758567</LegalEntityRegisteredNameID>
        <RepresentatedNamesOfAssistant/>
        <LegalEntityTypeID>3</LegalEntityTypeID>
        <IsVerdictExists>false</IsVerdictExists>
        <IsAsirAzir>false</IsAsirAzir>
        <MainAndSecSpec/>
        <IsPublicationProhibited>false</IsPublicationProhibited>
        <PublicationProhibitedFullName>איטייפ-אומניטק בע"מ</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גיל לוי-צדק</FullName>
        <FirstName>גיל</FirstName>
        <LastName>לוי-צדק</LastName>
        <PartyPropertyName/>
        <AuthenticationTypeAndNumber>מ.ר. 53882</AuthenticationTypeAndNumber>
        <RepresentatedOrRepresentativesNames>איילת בר</RepresentatedOrRepresentativesNames>
        <RepresentatedOrRepresentativesCount>1</RepresentatedOrRepresentativesCount>
        <InvitedBy/>
        <CaseID>79645372</CaseID>
        <CaseJudicialPersonPresentationDS>
          <CaseJudicalPersonActive>
            <CaseID>79645372</CaseID>
            <JudicialPersonID>022829972@GOV.IL</JudicialPersonID>
            <JudicialPersonTypeID>1</JudicialPersonTypeID>
            <JudicialTypeID>1</JudicialTypeID>
            <IsChairman>false</IsChairman>
            <TreatmentStartDate>2024-09-12T11:25:30.447+03:00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247069474</CasePartyID>
        <PartyTypeID>2</PartyTypeID>
        <ActivityStatusID>1</ActivityStatusID>
        <PartyAliasID>21</PartyAliasID>
        <PartyAliasName>בא כוח נתבעים</PartyAliasName>
        <LegalEntityID>76449068</LegalEntityID>
        <CaseLegalEntityID>121698254</CaseLegalEntityID>
        <AuthenticationTypeID>4</AuthenticationTypeID>
        <AuthenticationTypeName>מ.ר.</AuthenticationTypeName>
        <LegalEntityNumber>53882</LegalEntityNumber>
        <IsMainPartyType>true</IsMainPartyType>
        <CaseDisplayIdentifier>4818-10-22</CaseDisplayIdentifier>
        <CaseTypeID>10262</CaseTypeID>
        <CaseTypeName>תביעה לאחר הסדר התדיינויות במשפחה (תלה"מ)</CaseTypeName>
        <CaseName>בוזגלו נ' בר</CaseName>
        <FullAddress>הירדן 42 רמת גן </FullAddress>
        <EmailAddress>levitzedekadv@gmail.com</EmailAddress>
        <MotionID>0</MotionID>
        <CasePleaID>0</CasePleaID>
        <LinkedCaseID>0</LinkedCaseID>
        <PartyID>2</PartyID>
        <CasePartyCategoryID>2</CasePartyCategoryID>
        <LegalEntityAddressID>85453708</LegalEntityAddressID>
        <LegalEntityEmailAddressID>67948175</LegalEntityEmailAddressID>
        <PleaTypeID>4</PleaTypeID>
        <LawyerOfficeName>משרד עו"ד גיל לוי-צדק</LawyerOfficeName>
        <LawyerOfficeID>76449069</LawyerOfficeID>
        <GroupPartyAlias/>
        <IsConverted>false</IsConverted>
        <LegalEntityNameID>84051253</LegalEntityNameID>
        <RepresentatedNamesOfAssistant/>
        <LegalEntityTypeID>4</LegalEntityTypeID>
        <IsVerdictExists>false</IsVerdictExists>
        <IsAsirAzir>false</IsAsirAzir>
        <MainAndSecSpec/>
        <IsPublicationProhibited>false</IsPublicationProhibited>
        <PublicationProhibitedFullName>גיל לוי-צדק</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רמי סינואני</FullName>
        <FirstName>רמי</FirstName>
        <LastName>סינואני</LastName>
        <PartyPropertyName/>
        <AuthenticationTypeAndNumber>מ.ר. 38385</AuthenticationTypeAndNumber>
        <RepresentatedOrRepresentativesNames>איילת בר</RepresentatedOrRepresentativesNames>
        <RepresentatedOrRepresentativesCount>1</RepresentatedOrRepresentativesCount>
        <InvitedBy/>
        <CaseID>79645372</CaseID>
        <CaseJudicialPersonPresentationDS>
          <CaseJudicalPersonActive>
            <CaseID>79645372</CaseID>
            <JudicialPersonID>022829972@GOV.IL</JudicialPersonID>
            <JudicialPersonTypeID>1</JudicialPersonTypeID>
            <JudicialTypeID>1</JudicialTypeID>
            <IsChairman>false</IsChairman>
            <TreatmentStartDate>2024-09-12T11:25:30.447+03:00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247069519</CasePartyID>
        <PartyTypeID>2</PartyTypeID>
        <ActivityStatusID>1</ActivityStatusID>
        <PartyAliasID>21</PartyAliasID>
        <PartyAliasName>בא כוח נתבעים</PartyAliasName>
        <LegalEntityID>408904</LegalEntityID>
        <CaseLegalEntityID>121698269</CaseLegalEntityID>
        <AuthenticationTypeID>4</AuthenticationTypeID>
        <AuthenticationTypeName>מ.ר.</AuthenticationTypeName>
        <LegalEntityNumber>38385</LegalEntityNumber>
        <IsMainPartyType>true</IsMainPartyType>
        <CaseDisplayIdentifier>4818-10-22</CaseDisplayIdentifier>
        <CaseTypeID>10262</CaseTypeID>
        <CaseTypeName>תביעה לאחר הסדר התדיינויות במשפחה (תלה"מ)</CaseTypeName>
        <CaseName>בוזגלו נ' בר</CaseName>
        <FullAddress>הירדן 42 דירה 1 רמת גן </FullAddress>
        <EmailAddress>RAMISINSIN@GMAIL.COM</EmailAddress>
        <MotionID>0</MotionID>
        <CasePleaID>0</CasePleaID>
        <FatherName xml:space="preserve">        </FatherName>
        <LinkedCaseID>0</LinkedCaseID>
        <PartyID>2</PartyID>
        <CasePartyCategoryID>2</CasePartyCategoryID>
        <LegalEntityAddressID>2116230</LegalEntityAddressID>
        <LegalEntityEmailAddressID>68313161</LegalEntityEmailAddressID>
        <PleaTypeID>4</PleaTypeID>
        <LawyerOfficeName>משרד עו"ד: רמי סינואני</LawyerOfficeName>
        <LawyerOfficeID>449548</LawyerOfficeID>
        <GroupPartyAlias/>
        <IsConverted>false</IsConverted>
        <LegalEntityNameID>29888</LegalEntityNameID>
        <RepresentatedNamesOfAssistant/>
        <LegalEntityTypeID>4</LegalEntityTypeID>
        <IsVerdictExists>false</IsVerdictExists>
        <IsAsirAzir>false</IsAsirAzir>
        <MainAndSecSpec/>
        <IsPublicationProhibited>false</IsPublicationProhibited>
        <PublicationProhibitedFullName>רמי סינואני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אסף בוזגלו</FullName>
        <FirstName>אסף</FirstName>
        <LastName>בוזגלו</LastName>
        <PartyPropertyName/>
        <AuthenticationTypeAndNumber>ת"ז 036065829</AuthenticationTypeAndNumber>
        <RepresentatedOrRepresentativesNames>ידידיה מנדל</RepresentatedOrRepresentativesNames>
        <RepresentatedOrRepresentativesCount>1</RepresentatedOrRepresentativesCount>
        <InvitedBy/>
        <CaseID>79645372</CaseID>
        <CaseJudicialPersonPresentationDS>
          <CaseJudicalPersonActive>
            <CaseID>79645372</CaseID>
            <JudicialPersonID>022829972@GOV.IL</JudicialPersonID>
            <JudicialPersonTypeID>1</JudicialPersonTypeID>
            <JudicialTypeID>1</JudicialTypeID>
            <IsChairman>false</IsChairman>
            <TreatmentStartDate>2024-09-12T11:25:30.447+03:00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246399247</CasePartyID>
        <PartyTypeID>1</PartyTypeID>
        <ActivityStatusID>1</ActivityStatusID>
        <PartyAliasID>1</PartyAliasID>
        <PartyAliasName>תובע</PartyAliasName>
        <OrdinalNumber>1</OrdinalNumber>
        <LegalEntityID>13072171</LegalEntityID>
        <CaseLegalEntityID>121481368</CaseLegalEntityID>
        <AuthenticationTypeID>1</AuthenticationTypeID>
        <AuthenticationTypeName>ת"ז</AuthenticationTypeName>
        <LegalEntityNumber>036065829</LegalEntityNumber>
        <IsMainPartyType>true</IsMainPartyType>
        <CaseDisplayIdentifier>4818-10-22</CaseDisplayIdentifier>
        <CaseTypeID>10262</CaseTypeID>
        <CaseTypeName>תביעה לאחר הסדר התדיינויות במשפחה (תלה"מ)</CaseTypeName>
        <CaseName>בוזגלו נ' בר</CaseName>
        <FullAddress>התאנה 19 שערי תקווה </FullAddress>
        <MotionID>0</MotionID>
        <CasePleaID>0</CasePleaID>
        <FatherName>יעקב</FatherName>
        <LinkedCaseID>0</LinkedCaseID>
        <PartyID>1</PartyID>
        <CasePartyCategoryID>2</CasePartyCategoryID>
        <LegalEntityAddressID>87035197</LegalEntityAddressID>
        <PleaTypeID>4</PleaTypeID>
        <GroupPartyAlias>תובעים</GroupPartyAlias>
        <IsConverted>false</IsConverted>
        <LegalEntityRegisteredNameID>9915769</LegalEntityRegisteredNameID>
        <LegalEntityNameID>93764659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אסף בוזגלו</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ידידיה מנדל</FullName>
        <FirstName>ידידיה</FirstName>
        <LastName>מנדל</LastName>
        <PartyPropertyName/>
        <AuthenticationTypeAndNumber>מ.ר. 62068</AuthenticationTypeAndNumber>
        <RepresentatedOrRepresentativesNames>אסף בוזגלו</RepresentatedOrRepresentativesNames>
        <RepresentatedOrRepresentativesCount>1</RepresentatedOrRepresentativesCount>
        <InvitedBy/>
        <CaseID>79645372</CaseID>
        <CaseJudicialPersonPresentationDS>
          <CaseJudicalPersonActive>
            <CaseID>79645372</CaseID>
            <JudicialPersonID>022829972@GOV.IL</JudicialPersonID>
            <JudicialPersonTypeID>1</JudicialPersonTypeID>
            <JudicialTypeID>1</JudicialTypeID>
            <IsChairman>false</IsChairman>
            <TreatmentStartDate>2024-09-12T11:25:30.447+03:00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246399248</CasePartyID>
        <PartyTypeID>2</PartyTypeID>
        <ActivityStatusID>1</ActivityStatusID>
        <PartyAliasID>20</PartyAliasID>
        <PartyAliasName>בא כוח תובעים</PartyAliasName>
        <OrdinalNumber>1</OrdinalNumber>
        <LegalEntityID>72111739</LegalEntityID>
        <CaseLegalEntityID>121481369</CaseLegalEntityID>
        <AuthenticationTypeID>4</AuthenticationTypeID>
        <AuthenticationTypeName>מ.ר.</AuthenticationTypeName>
        <LegalEntityNumber>62068</LegalEntityNumber>
        <IsMainPartyType>true</IsMainPartyType>
        <CaseDisplayIdentifier>4818-10-22</CaseDisplayIdentifier>
        <CaseTypeID>10262</CaseTypeID>
        <CaseTypeName>תביעה לאחר הסדר התדיינויות במשפחה (תלה"מ)</CaseTypeName>
        <CaseName>בוזגלו נ' בר</CaseName>
        <FullAddress>משה דין 14 פתח תקווה קומה 1</FullAddress>
        <EmailAddress>ym@mandel-law.co.il</EmailAddress>
        <MotionID>0</MotionID>
        <CasePleaID>0</CasePleaID>
        <LinkedCaseID>0</LinkedCaseID>
        <PartyID>1</PartyID>
        <CasePartyCategoryID>2</CasePartyCategoryID>
        <LegalEntityAddressID>83140100</LegalEntityAddressID>
        <LegalEntityEmailAddressID>67855100</LegalEntityEmailAddressID>
        <PleaTypeID>4</PleaTypeID>
        <LawyerOfficeName>משרד עו"ד ידידיה מנדל</LawyerOfficeName>
        <LawyerOfficeID>72111740</LawyerOfficeID>
        <GroupPartyAlias/>
        <IsConverted>false</IsConverted>
        <LegalEntityNameID>75793071</LegalEntityNameID>
        <RepresentatedNamesOfAssistant/>
        <LegalEntityTypeID>4</LegalEntityTypeID>
        <IsVerdictExists>false</IsVerdictExists>
        <IsAsirAzir>false</IsAsirAzir>
        <MainAndSecSpec/>
        <IsPublicationProhibited>false</IsPublicationProhibited>
        <PublicationProhibitedFullName>ידידיה מנדל</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איילת בר</FullName>
        <FirstName>איילת</FirstName>
        <LastName>בר</LastName>
        <PartyPropertyName/>
        <AuthenticationTypeAndNumber>ת"ז 039108774</AuthenticationTypeAndNumber>
        <RepresentatedOrRepresentativesNames>גיל לוי-צדק, רמי סינואני</RepresentatedOrRepresentativesNames>
        <RepresentatedOrRepresentativesCount>2</RepresentatedOrRepresentativesCount>
        <InvitedBy/>
        <CaseID>79645372</CaseID>
        <CaseJudicialPersonPresentationDS>
          <CaseJudicalPersonActive>
            <CaseID>79645372</CaseID>
            <JudicialPersonID>022829972@GOV.IL</JudicialPersonID>
            <JudicialPersonTypeID>1</JudicialPersonTypeID>
            <JudicialTypeID>1</JudicialTypeID>
            <IsChairman>false</IsChairman>
            <TreatmentStartDate>2024-09-12T11:25:30.447+03:00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246399249</CasePartyID>
        <PartyTypeID>1</PartyTypeID>
        <ActivityStatusID>1</ActivityStatusID>
        <PartyAliasID>2</PartyAliasID>
        <PartyAliasName>נתבע</PartyAliasName>
        <OrdinalNumber>1</OrdinalNumber>
        <LegalEntityID>74874672</LegalEntityID>
        <CaseLegalEntityID>121481370</CaseLegalEntityID>
        <AuthenticationTypeID>1</AuthenticationTypeID>
        <AuthenticationTypeName>ת"ז</AuthenticationTypeName>
        <LegalEntityNumber>039108774</LegalEntityNumber>
        <IsMainPartyType>true</IsMainPartyType>
        <CaseDisplayIdentifier>4818-10-22</CaseDisplayIdentifier>
        <CaseTypeID>10262</CaseTypeID>
        <CaseTypeName>תביעה לאחר הסדר התדיינויות במשפחה (תלה"מ)</CaseTypeName>
        <CaseName>בוזגלו נ' בר</CaseName>
        <FullAddress>התאנה 19 שערי תקווה </FullAddress>
        <MotionID>0</MotionID>
        <CasePleaID>0</CasePleaID>
        <FatherName>דוד</FatherName>
        <LinkedCaseID>0</LinkedCaseID>
        <PartyID>2</PartyID>
        <CasePartyCategoryID>2</CasePartyCategoryID>
        <LegalEntityAddressID>87035198</LegalEntityAddressID>
        <PleaTypeID>4</PleaTypeID>
        <GroupPartyAlias>נתבעים</GroupPartyAlias>
        <IsConverted>false</IsConverted>
        <LegalEntityRegisteredNameID>9915768</LegalEntityRegisteredNameID>
        <LegalEntityNameID>93764660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איילת בר</PublicationProhibitedFullName>
      </CaseParties>
    </CasePartiesSelectionDS>
    <CaseName>בוזגלו נ' בר</CaseName>
    <CaseDisplayIdentifier>4818-10-22</CaseDisplayIdentifier>
    <CaseInterestID>167</CaseInterestID>
    <CaseTypeShortName>תלה"מ</CaseTypeShortName>
  </dt_DecisionCase>
  <dt_DecisionJudgePanel>
    <JudgeID>022829972@GOV.IL</JudgeID>
    <DisplayName>שירלי שי</DisplayName>
    <RoleName>שופט</RoleName>
    <UserTitleName>שופטת</UserTitleName>
  </dt_DecisionJudgePanel>
  <dt_LegalEntityDetails>
    <Fax>03-5744271</Fax>
    <Phone>052-5559979</Phone>
    <PartyID>2</PartyID>
    <PartyTypeID>2</PartyTypeID>
    <DecisionID>0</DecisionID>
    <StreetName>הירדן 42</StreetName>
    <ZipCode>5233325</ZipCode>
    <CityName>רמת גן</CityName>
    <FullName>גיל לוי-צדק</FullName>
    <Email>levitzedekadv@gmail.com</Email>
    <IsPublicationProhibited>false</IsPublicationProhibited>
  </dt_LegalEntityDetails>
  <dt_LegalEntityDetails>
    <Fax>03-5744271</Fax>
    <Phone>03-5746000</Phone>
    <PartyID>2</PartyID>
    <PartyTypeID>2</PartyTypeID>
    <DecisionID>0</DecisionID>
    <StreetName>הירדן 42 דירה 1</StreetName>
    <CityName>רמת גן</CityName>
    <FullName>רמי סינואני</FullName>
    <Email>RAMISINSIN@GMAIL.COM</Email>
    <IsPublicationProhibited>false</IsPublicationProhibited>
  </dt_LegalEntityDetails>
  <dt_LegalEntityDetails>
    <PartyTypeID>4</PartyTypeID>
    <DecisionID>0</DecisionID>
    <IsPublicationProhibited>false</IsPublicationProhibited>
  </dt_LegalEntityDetails>
  <dt_LegalEntityDetails>
    <Fax>077-2285648</Fax>
    <Phone>052-4747338</Phone>
    <AddressDesc/>
    <PartyID>1</PartyID>
    <PartyTypeID>3</PartyTypeID>
    <DecisionID>0</DecisionID>
    <AssistantRoleID>27</AssistantRoleID>
    <StreetName>האופן 5</StreetName>
    <ZipCode>49512</ZipCode>
    <CityName>פתח תקווה</CityName>
    <FullName> איטייפ-אומניטק בע"מ</FullName>
    <Email>court@etype.co.il</Email>
    <IsPublicationProhibited>false</IsPublicationProhibited>
  </dt_LegalEntityDetails>
  <dt_LegalEntityDetails>
    <PartyID>1</PartyID>
    <PartyTypeID>1</PartyTypeID>
    <DecisionID>0</DecisionID>
    <StreetName>התאנה 19</StreetName>
    <CityName>שערי תקווה</CityName>
    <FullName>אסף בוזגלו</FullName>
    <IsPublicationProhibited>false</IsPublicationProhibited>
  </dt_LegalEntityDetails>
  <dt_LegalEntityDetails>
    <Fax>077-5558838</Fax>
    <Phone>053-2284848</Phone>
    <AddressDesc>קומה 1</AddressDesc>
    <PartyID>1</PartyID>
    <PartyTypeID>2</PartyTypeID>
    <DecisionID>0</DecisionID>
    <StreetName>משה דין 14</StreetName>
    <ZipCode>4951818</ZipCode>
    <CityName>פתח תקווה</CityName>
    <FullName>ידידיה מנדל</FullName>
    <Email>ym@mandel-law.co.il</Email>
    <IsPublicationProhibited>false</IsPublicationProhibited>
  </dt_LegalEntityDetails>
  <dt_LegalEntityDetails>
    <PartyID>2</PartyID>
    <PartyTypeID>1</PartyTypeID>
    <DecisionID>0</DecisionID>
    <StreetName>התאנה 19</StreetName>
    <CityName>שערי תקווה</CityName>
    <FullName>איילת בר</FullName>
    <IsPublicationProhibited>false</IsPublicationProhibited>
  </dt_LegalEntityDetails>
  <dt_CaseJudicalPersonActive>
    <CaseJudicalPerson>שופטת שירלי שי</CaseJudicalPerson>
  </dt_CaseJudicalPersonActive>
  <dt_Sitting>
    <PreviousMeetingDate>2024-09-19T13:00:00+03:00</PreviousMeetingDate>
    <PreviousSittingTypeID>3</PreviousSittingTypeID>
    <PreviousMeetingDisplayName>שופטת שירלי שי</PreviousMeetingDisplayName>
    <PreviousMeetingRoleName>שופט</PreviousMeetingRoleName>
    <PreviousMeetingUserTitleName>שופטת</PreviousMeetingUserTitleName>
    <PreviousMeetingUserUPN>022829972@GOV.IL</PreviousMeetingUserUPN>
  </dt_Sitting>
</DecisionTemplateDS>
</file>

<file path=customXml/itemProps1.xml><?xml version="1.0" encoding="utf-8"?>
<ds:datastoreItem xmlns:ds="http://schemas.openxmlformats.org/officeDocument/2006/customXml" ds:itemID="{29697E43-4003-4AA9-8BBB-28757D001BA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3726</Words>
  <Characters>18631</Characters>
  <Application>Microsoft Office Word</Application>
  <DocSecurity>0</DocSecurity>
  <Lines>155</Lines>
  <Paragraphs>44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22313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2024-12-01T07:17:00Z</cp:lastPrinted>
  <dcterms:created xsi:type="dcterms:W3CDTF">2024-12-05T07:00:00Z</dcterms:created>
  <dcterms:modified xsi:type="dcterms:W3CDTF">2024-12-05T07:00:00Z</dcterms:modified>
</cp:coreProperties>
</file>